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Default="006C3AA7">
      <w:r w:rsidRPr="006C3AA7">
        <w:rPr>
          <w:highlight w:val="yellow"/>
        </w:rPr>
        <w:t>CLASSMATE POST #1</w:t>
      </w:r>
    </w:p>
    <w:p w:rsidR="006C3AA7" w:rsidRDefault="006C3AA7"/>
    <w:p w:rsidR="006C3AA7" w:rsidRPr="006C3AA7" w:rsidRDefault="006C3AA7" w:rsidP="006C3AA7">
      <w:pPr>
        <w:shd w:val="clear" w:color="auto" w:fill="E6E6E6"/>
        <w:spacing w:after="0" w:line="390" w:lineRule="atLeast"/>
        <w:jc w:val="center"/>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t>S. Reagan Discussion 6</w:t>
      </w:r>
    </w:p>
    <w:p w:rsidR="006C3AA7" w:rsidRPr="006C3AA7" w:rsidRDefault="006C3AA7" w:rsidP="006C3AA7">
      <w:pPr>
        <w:shd w:val="clear" w:color="auto" w:fill="E6E6E6"/>
        <w:spacing w:after="240" w:line="390" w:lineRule="atLeast"/>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 </w:t>
      </w:r>
    </w:p>
    <w:p w:rsidR="006C3AA7" w:rsidRPr="006C3AA7" w:rsidRDefault="006C3AA7" w:rsidP="006C3AA7">
      <w:pPr>
        <w:shd w:val="clear" w:color="auto" w:fill="E6E6E6"/>
        <w:spacing w:after="240" w:line="390" w:lineRule="atLeast"/>
        <w:jc w:val="center"/>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Suzette Reagan</w:t>
      </w:r>
    </w:p>
    <w:p w:rsidR="006C3AA7" w:rsidRPr="006C3AA7" w:rsidRDefault="006C3AA7" w:rsidP="006C3AA7">
      <w:pPr>
        <w:shd w:val="clear" w:color="auto" w:fill="E6E6E6"/>
        <w:spacing w:after="240" w:line="390" w:lineRule="atLeast"/>
        <w:jc w:val="center"/>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Liberty University</w:t>
      </w:r>
    </w:p>
    <w:p w:rsidR="006C3AA7" w:rsidRPr="006C3AA7" w:rsidRDefault="006C3AA7" w:rsidP="006C3AA7">
      <w:pPr>
        <w:shd w:val="clear" w:color="auto" w:fill="E6E6E6"/>
        <w:spacing w:after="240" w:line="390" w:lineRule="atLeast"/>
        <w:jc w:val="center"/>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 </w:t>
      </w:r>
    </w:p>
    <w:p w:rsidR="006C3AA7" w:rsidRPr="006C3AA7" w:rsidRDefault="006C3AA7" w:rsidP="006C3AA7">
      <w:pPr>
        <w:shd w:val="clear" w:color="auto" w:fill="E6E6E6"/>
        <w:spacing w:after="0" w:line="390" w:lineRule="atLeast"/>
        <w:jc w:val="center"/>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t>Author Note</w:t>
      </w:r>
    </w:p>
    <w:p w:rsidR="006C3AA7" w:rsidRPr="006C3AA7" w:rsidRDefault="006C3AA7" w:rsidP="006C3AA7">
      <w:pPr>
        <w:shd w:val="clear" w:color="auto" w:fill="E6E6E6"/>
        <w:spacing w:after="240" w:line="195" w:lineRule="atLeast"/>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Suzette S. Reagan</w:t>
      </w:r>
    </w:p>
    <w:p w:rsidR="006C3AA7" w:rsidRPr="006C3AA7" w:rsidRDefault="006C3AA7" w:rsidP="006C3AA7">
      <w:pPr>
        <w:shd w:val="clear" w:color="auto" w:fill="E6E6E6"/>
        <w:spacing w:after="240" w:line="195" w:lineRule="atLeast"/>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I have no known conflicts of interest to disclose.</w:t>
      </w:r>
    </w:p>
    <w:p w:rsidR="006C3AA7" w:rsidRPr="006C3AA7" w:rsidRDefault="006C3AA7" w:rsidP="006C3AA7">
      <w:pPr>
        <w:shd w:val="clear" w:color="auto" w:fill="E6E6E6"/>
        <w:spacing w:after="240" w:line="195" w:lineRule="atLeast"/>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Correspondences concerning this article should be addressed to Suzette S. Reagan. Email: sreagan3@liberty.edu</w:t>
      </w:r>
    </w:p>
    <w:p w:rsidR="006C3AA7" w:rsidRPr="006C3AA7" w:rsidRDefault="006C3AA7" w:rsidP="006C3AA7">
      <w:pPr>
        <w:shd w:val="clear" w:color="auto" w:fill="E6E6E6"/>
        <w:spacing w:after="0" w:line="240" w:lineRule="auto"/>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bdr w:val="none" w:sz="0" w:space="0" w:color="auto" w:frame="1"/>
        </w:rPr>
        <w:br w:type="textWrapping" w:clear="all"/>
      </w:r>
      <w:r w:rsidRPr="006C3AA7">
        <w:rPr>
          <w:rFonts w:ascii="Open Sans" w:eastAsia="Times New Roman" w:hAnsi="Open Sans" w:cs="Open Sans"/>
          <w:color w:val="000000"/>
          <w:sz w:val="24"/>
          <w:szCs w:val="24"/>
          <w:bdr w:val="none" w:sz="0" w:space="0" w:color="auto" w:frame="1"/>
        </w:rPr>
        <w:br/>
      </w:r>
    </w:p>
    <w:p w:rsidR="006C3AA7" w:rsidRPr="006C3AA7" w:rsidRDefault="006C3AA7" w:rsidP="006C3AA7">
      <w:pPr>
        <w:shd w:val="clear" w:color="auto" w:fill="E6E6E6"/>
        <w:spacing w:after="0" w:line="390" w:lineRule="atLeast"/>
        <w:jc w:val="center"/>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t>S. Reagan Discussion 6</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Once a strategy has been developed, it is now up to the management team to execute it. The management team will need to understand the strategy design and focus on executing it successfully. Furthermore, the management team will need to make good decisions to avoid falling into decision traps that could derail the strategy's implementation.</w:t>
      </w:r>
    </w:p>
    <w:p w:rsidR="006C3AA7" w:rsidRPr="006C3AA7" w:rsidRDefault="006C3AA7" w:rsidP="006C3AA7">
      <w:pPr>
        <w:shd w:val="clear" w:color="auto" w:fill="E6E6E6"/>
        <w:spacing w:after="0" w:line="390" w:lineRule="atLeast"/>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t>Process: Effective Execution of Strategy</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 xml:space="preserve">The effective execution of strategy falls on the entire management team. There are eight tasks that organizations should follow to execute the developed strategy (Gamble et al., 2020). The first task is to ensure the organization's staffing can execute the developed strategy. The first step is to hire the right team. The team must be willing and able to perform at their best to implement the strategy successfully. They will need the right experience, technical skills, and intelligence to make the decisions that are aligned with the strategy. The team must be willing to work together and not be focused on their own personal goals to deter the organization. The next step is to acquire, develop, and support the management team's key resources to lead. The reporting structure needs to be established for the greatest efficiency and clearly define the limitations of decision-making at all levels to ensure the </w:t>
      </w:r>
      <w:r w:rsidRPr="006C3AA7">
        <w:rPr>
          <w:rFonts w:ascii="inherit" w:eastAsia="Times New Roman" w:hAnsi="inherit" w:cs="Open Sans"/>
          <w:color w:val="000000"/>
          <w:sz w:val="20"/>
          <w:szCs w:val="20"/>
        </w:rPr>
        <w:lastRenderedPageBreak/>
        <w:t>organization can successfully execute the strategy. The organization communicates the importance of the strategy and how the teams will be focused on its implementation when it clarifies the limits of decision-making authority.</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The second task an organization should complete to execute the developed strategy is to budget for the strategy-related activities (Gamble et al., 2020). The organization will need to determine the number and costs of resources needed to implement the strategy. Those resources that are critical for the success of the plan will need to be prioritized. To support the strategy, the organization will need to address the third task of reviewing its policies and procedures. The existing policies and procedures should not contain items that interfere with the execution of the strategy. If there are items that conflict with the organization’s strategy, it may need to rewrite or create new policies and procedures to support its strategy.</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As part of the policies and procedures, the fourth task an organization will complete is to ensure a policy for continuous improvement analysis on the execution activities (Gamble et al., 2020). An organization must avoid becoming stagnant and strive to find improvement throughout the value chain. Engaging in Six Sigma, total quality management, Lean, or Lean Six Sigma, is an effective tool for organizations to reduce costs and improve quality for the consumer (</w:t>
      </w:r>
      <w:proofErr w:type="spellStart"/>
      <w:r w:rsidRPr="006C3AA7">
        <w:rPr>
          <w:rFonts w:ascii="inherit" w:eastAsia="Times New Roman" w:hAnsi="inherit" w:cs="Open Sans"/>
          <w:color w:val="000000"/>
          <w:sz w:val="20"/>
          <w:szCs w:val="20"/>
        </w:rPr>
        <w:t>Juliani</w:t>
      </w:r>
      <w:proofErr w:type="spellEnd"/>
      <w:r w:rsidRPr="006C3AA7">
        <w:rPr>
          <w:rFonts w:ascii="inherit" w:eastAsia="Times New Roman" w:hAnsi="inherit" w:cs="Open Sans"/>
          <w:color w:val="000000"/>
          <w:sz w:val="20"/>
          <w:szCs w:val="20"/>
        </w:rPr>
        <w:t xml:space="preserve"> &amp; Oliveira, 2017; Kovach &amp; Ingle, 2019). The goals of continuous improvement and the use of Lean Six Sigma tools are effective for all organizations, including the non-profit industry. The critical success factors identified during the strategic development will be evaluated using a continuous improvement tool such as Lean Six Sigma to ensure the customer receives the highest quality product or service. Lean Six Sigma is also effective at identifying areas for cost reduction, improving the profit-margin, or allowing for a price reduction for the consumer.</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Technology will need to be reliable and effective to support the management team’s strategy execution (Gamble et al., 2020). The fifth task in the execution process, an organization’s technological backbone, can help management obtain effective reporting and better communication. The sixth task in executing the strategy is to align the rewards for success with the strategic plan. If the organization's bonus or penalty structure is not aligned with the strategy, the employees will focus on the financial reward or avoidance rather than the strategy. The seventh task is to foster a culture throughout the organization that is focused on promoting the strategy.</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The final task for implementing the strategy is to have leadership continuously involved in the message of the strategy (Gamble et al., 2020). With great leadership, the organization will have a constant reminder of the strategy and the direction the organization is operating. The final task is essential for the strategic implementation's success, for even a great team still needs strong leadership to keep the momentum moving forward. Each task is important, and a failure in one task may jeopardize the strategy's successful implementation.</w:t>
      </w:r>
    </w:p>
    <w:p w:rsidR="006C3AA7" w:rsidRPr="006C3AA7" w:rsidRDefault="006C3AA7" w:rsidP="006C3AA7">
      <w:pPr>
        <w:shd w:val="clear" w:color="auto" w:fill="E6E6E6"/>
        <w:spacing w:after="0" w:line="390" w:lineRule="atLeast"/>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lastRenderedPageBreak/>
        <w:t>Strategic Thinking: Power of Design vs. Power of Focus</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The power of design versus the power of focus (</w:t>
      </w:r>
      <w:proofErr w:type="spellStart"/>
      <w:r w:rsidRPr="006C3AA7">
        <w:rPr>
          <w:rFonts w:ascii="inherit" w:eastAsia="Times New Roman" w:hAnsi="inherit" w:cs="Open Sans"/>
          <w:color w:val="000000"/>
          <w:sz w:val="20"/>
          <w:szCs w:val="20"/>
        </w:rPr>
        <w:t>Rumelt</w:t>
      </w:r>
      <w:proofErr w:type="spellEnd"/>
      <w:r w:rsidRPr="006C3AA7">
        <w:rPr>
          <w:rFonts w:ascii="inherit" w:eastAsia="Times New Roman" w:hAnsi="inherit" w:cs="Open Sans"/>
          <w:color w:val="000000"/>
          <w:sz w:val="20"/>
          <w:szCs w:val="20"/>
        </w:rPr>
        <w:t>, 2011) is in its development. The power of design occurs during the development of the strategy, and it is important to balance the resources, the technological and physical limitations, and final product needs. The greater the limitations, the more the design needs to integrate the components: the more integration, the more fragile the design. As the components become more dependent upon each other, there is a greater risk of cascading failures. The design aims to find the right balance within the confinements, giving the strategy greater power.</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The power of focus grants the organization the opportunity to offer differentiation from its competition. The focus strategy sets the organization apart from the competition by responding to a consumer need. While the consumer may have other organizations to choose from, they may face higher costs. An example is this author’s organization. ONH serves previously incarcerated non-violent offenders to obtain life skills, temporary housing, mental health services, and job coaching. Other organizations offer one or two of these services, but ONH’s mission is to provide support for one year. Other organizations have a focused strategy on one or two of these mission-critical support functions, and therefore may be better suited for some of our clients. ONH’s focused strategy is to reduce recidivism, and statistically, most recidivism occurs within one year of release.  </w:t>
      </w:r>
    </w:p>
    <w:p w:rsidR="006C3AA7" w:rsidRPr="006C3AA7" w:rsidRDefault="006C3AA7" w:rsidP="006C3AA7">
      <w:pPr>
        <w:shd w:val="clear" w:color="auto" w:fill="E6E6E6"/>
        <w:spacing w:after="0" w:line="390" w:lineRule="atLeast"/>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t>Decision Model: Key Decision Traps to Avoid</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 xml:space="preserve">There are several key decision traps to avoid (Hammond et al., 1998). These include the anchoring trap, the status-quo trap, the sunk-cost trap, the confirming-evidence trap, the framing trap, estimating and forecasting traps, the overconfidence trap, and the prudence and the </w:t>
      </w:r>
      <w:proofErr w:type="spellStart"/>
      <w:r w:rsidRPr="006C3AA7">
        <w:rPr>
          <w:rFonts w:ascii="inherit" w:eastAsia="Times New Roman" w:hAnsi="inherit" w:cs="Open Sans"/>
          <w:color w:val="000000"/>
          <w:sz w:val="20"/>
          <w:szCs w:val="20"/>
        </w:rPr>
        <w:t>recallability</w:t>
      </w:r>
      <w:proofErr w:type="spellEnd"/>
      <w:r w:rsidRPr="006C3AA7">
        <w:rPr>
          <w:rFonts w:ascii="inherit" w:eastAsia="Times New Roman" w:hAnsi="inherit" w:cs="Open Sans"/>
          <w:color w:val="000000"/>
          <w:sz w:val="20"/>
          <w:szCs w:val="20"/>
        </w:rPr>
        <w:t xml:space="preserve"> trap. These traps are common, and managers should be aware of them to avoid falling into them. While each trap has its nuances, the overarching theme to these traps is that it is within our ability to ensure we do not fall into them.</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Regardless of the type of trap outlined by Hammond et al. (1998), decision-makers need to look at the problem from different perspectives. The decision-maker should attempt to find a resolution and then question the validity of that resolution before seeking others' opinions. When receiving others’ opinions, the decision-maker should not be approaching only those who have agreed with them in the past but should also seek out the opinion of those who have disagreed with them to help expand the thinking beyond what is known. When explaining the problem to others, stick to the facts to avoid setting a recipient's decision trap. Do not settle on what is easiest; question why it is believed to be the easiest and determine the opportunity costs for selecting it. Support others when the decisions chose were wrong, but the process to select the decision was sound.</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lastRenderedPageBreak/>
        <w:t>This author, the one trap that causes the most heartache, is the “this is how it has always been done” statement. I have witnessed this said time and again, and the resistance to change is powerful. The decision to keep the status quo was one of the most difficult hurdles to overcome in my prior role as a Project Manager for a software company. It was ultimately the cause for my departure from the company. It was the best decision I made for my career and mental health.</w:t>
      </w:r>
    </w:p>
    <w:p w:rsidR="006C3AA7" w:rsidRPr="006C3AA7" w:rsidRDefault="006C3AA7" w:rsidP="006C3AA7">
      <w:pPr>
        <w:shd w:val="clear" w:color="auto" w:fill="E6E6E6"/>
        <w:spacing w:after="0" w:line="390" w:lineRule="atLeast"/>
        <w:rPr>
          <w:rFonts w:ascii="inherit" w:eastAsia="Times New Roman" w:hAnsi="inherit" w:cs="Open Sans"/>
          <w:color w:val="000000"/>
          <w:sz w:val="20"/>
          <w:szCs w:val="20"/>
        </w:rPr>
      </w:pPr>
      <w:r w:rsidRPr="006C3AA7">
        <w:rPr>
          <w:rFonts w:ascii="inherit" w:eastAsia="Times New Roman" w:hAnsi="inherit" w:cs="Open Sans"/>
          <w:b/>
          <w:bCs/>
          <w:color w:val="000000"/>
          <w:sz w:val="20"/>
          <w:szCs w:val="20"/>
          <w:bdr w:val="none" w:sz="0" w:space="0" w:color="auto" w:frame="1"/>
        </w:rPr>
        <w:t>Conclusion</w:t>
      </w:r>
    </w:p>
    <w:p w:rsidR="006C3AA7" w:rsidRPr="006C3AA7" w:rsidRDefault="006C3AA7" w:rsidP="006C3AA7">
      <w:pPr>
        <w:shd w:val="clear" w:color="auto" w:fill="E6E6E6"/>
        <w:spacing w:after="240" w:line="390" w:lineRule="atLeast"/>
        <w:ind w:firstLine="720"/>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Managing the implementation of the organization’s strategy is a critical component to the success of the organization. The organization selected the design and the strategy's focus to ensure the consumer is receiving the best product for the right price. The organization continues to remain solvent. Having the right team in place is essential for the success of implementing the strategy, for having the wrong person in the role of decision-maker could derail everything the organization planned.</w:t>
      </w:r>
    </w:p>
    <w:p w:rsidR="006C3AA7" w:rsidRPr="006C3AA7" w:rsidRDefault="006C3AA7" w:rsidP="006C3AA7">
      <w:pPr>
        <w:shd w:val="clear" w:color="auto" w:fill="E6E6E6"/>
        <w:spacing w:after="240" w:line="390" w:lineRule="atLeast"/>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 </w:t>
      </w:r>
    </w:p>
    <w:p w:rsidR="006C3AA7" w:rsidRPr="006C3AA7" w:rsidRDefault="006C3AA7" w:rsidP="006C3AA7">
      <w:pPr>
        <w:shd w:val="clear" w:color="auto" w:fill="E6E6E6"/>
        <w:spacing w:after="240" w:line="390" w:lineRule="atLeast"/>
        <w:rPr>
          <w:rFonts w:ascii="inherit" w:eastAsia="Times New Roman" w:hAnsi="inherit" w:cs="Open Sans"/>
          <w:color w:val="000000"/>
          <w:sz w:val="20"/>
          <w:szCs w:val="20"/>
        </w:rPr>
      </w:pPr>
      <w:r w:rsidRPr="006C3AA7">
        <w:rPr>
          <w:rFonts w:ascii="inherit" w:eastAsia="Times New Roman" w:hAnsi="inherit" w:cs="Open Sans"/>
          <w:color w:val="000000"/>
          <w:sz w:val="20"/>
          <w:szCs w:val="20"/>
        </w:rPr>
        <w:t> </w:t>
      </w:r>
    </w:p>
    <w:p w:rsidR="006C3AA7" w:rsidRPr="006C3AA7" w:rsidRDefault="006C3AA7" w:rsidP="006C3AA7">
      <w:pPr>
        <w:shd w:val="clear" w:color="auto" w:fill="E6E6E6"/>
        <w:spacing w:after="0" w:line="240" w:lineRule="auto"/>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bdr w:val="none" w:sz="0" w:space="0" w:color="auto" w:frame="1"/>
        </w:rPr>
        <w:br w:type="textWrapping" w:clear="all"/>
      </w:r>
      <w:r w:rsidRPr="006C3AA7">
        <w:rPr>
          <w:rFonts w:ascii="Open Sans" w:eastAsia="Times New Roman" w:hAnsi="Open Sans" w:cs="Open Sans"/>
          <w:color w:val="000000"/>
          <w:sz w:val="24"/>
          <w:szCs w:val="24"/>
          <w:bdr w:val="none" w:sz="0" w:space="0" w:color="auto" w:frame="1"/>
        </w:rPr>
        <w:br/>
      </w:r>
    </w:p>
    <w:p w:rsidR="006C3AA7" w:rsidRPr="006C3AA7" w:rsidRDefault="006C3AA7" w:rsidP="006C3AA7">
      <w:pPr>
        <w:shd w:val="clear" w:color="auto" w:fill="E6E6E6"/>
        <w:spacing w:after="0" w:line="390" w:lineRule="atLeast"/>
        <w:jc w:val="center"/>
        <w:rPr>
          <w:rFonts w:ascii="Open Sans" w:eastAsia="Times New Roman" w:hAnsi="Open Sans" w:cs="Open Sans"/>
          <w:color w:val="000000"/>
          <w:sz w:val="24"/>
          <w:szCs w:val="24"/>
        </w:rPr>
      </w:pPr>
      <w:r w:rsidRPr="006C3AA7">
        <w:rPr>
          <w:rFonts w:ascii="Open Sans" w:eastAsia="Times New Roman" w:hAnsi="Open Sans" w:cs="Open Sans"/>
          <w:b/>
          <w:bCs/>
          <w:color w:val="000000"/>
          <w:sz w:val="20"/>
          <w:szCs w:val="20"/>
          <w:bdr w:val="none" w:sz="0" w:space="0" w:color="auto" w:frame="1"/>
        </w:rPr>
        <w:t>References</w:t>
      </w:r>
    </w:p>
    <w:p w:rsidR="006C3AA7" w:rsidRPr="006C3AA7" w:rsidRDefault="006C3AA7" w:rsidP="006C3AA7">
      <w:pPr>
        <w:spacing w:after="0" w:line="240" w:lineRule="auto"/>
        <w:rPr>
          <w:rFonts w:ascii="Times New Roman" w:eastAsia="Times New Roman" w:hAnsi="Times New Roman" w:cs="Times New Roman"/>
          <w:sz w:val="24"/>
          <w:szCs w:val="24"/>
        </w:rPr>
      </w:pPr>
      <w:r w:rsidRPr="006C3AA7">
        <w:rPr>
          <w:rFonts w:ascii="Open Sans" w:eastAsia="Times New Roman" w:hAnsi="Open Sans" w:cs="Open Sans"/>
          <w:color w:val="000000"/>
          <w:sz w:val="24"/>
          <w:szCs w:val="24"/>
        </w:rPr>
        <w:br/>
      </w:r>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xml:space="preserve">Gamble, J. E., </w:t>
      </w:r>
      <w:proofErr w:type="spellStart"/>
      <w:r w:rsidRPr="006C3AA7">
        <w:rPr>
          <w:rFonts w:ascii="Open Sans" w:eastAsia="Times New Roman" w:hAnsi="Open Sans" w:cs="Open Sans"/>
          <w:color w:val="000000"/>
          <w:sz w:val="24"/>
          <w:szCs w:val="24"/>
        </w:rPr>
        <w:t>Peteraf</w:t>
      </w:r>
      <w:proofErr w:type="spellEnd"/>
      <w:r w:rsidRPr="006C3AA7">
        <w:rPr>
          <w:rFonts w:ascii="Open Sans" w:eastAsia="Times New Roman" w:hAnsi="Open Sans" w:cs="Open Sans"/>
          <w:color w:val="000000"/>
          <w:sz w:val="24"/>
          <w:szCs w:val="24"/>
        </w:rPr>
        <w:t>, M. A., &amp; Thompson, A. A., Jr. (2020). </w:t>
      </w:r>
      <w:r w:rsidRPr="006C3AA7">
        <w:rPr>
          <w:rFonts w:ascii="inherit" w:eastAsia="Times New Roman" w:hAnsi="inherit" w:cs="Open Sans"/>
          <w:i/>
          <w:iCs/>
          <w:color w:val="000000"/>
          <w:sz w:val="20"/>
          <w:szCs w:val="20"/>
          <w:bdr w:val="none" w:sz="0" w:space="0" w:color="auto" w:frame="1"/>
        </w:rPr>
        <w:t>Essentials of strategic management: The quest for competitive advantage</w:t>
      </w:r>
      <w:r w:rsidRPr="006C3AA7">
        <w:rPr>
          <w:rFonts w:ascii="Open Sans" w:eastAsia="Times New Roman" w:hAnsi="Open Sans" w:cs="Open Sans"/>
          <w:color w:val="000000"/>
          <w:sz w:val="24"/>
          <w:szCs w:val="24"/>
        </w:rPr>
        <w:t xml:space="preserve"> (7th </w:t>
      </w:r>
      <w:proofErr w:type="gramStart"/>
      <w:r w:rsidRPr="006C3AA7">
        <w:rPr>
          <w:rFonts w:ascii="Open Sans" w:eastAsia="Times New Roman" w:hAnsi="Open Sans" w:cs="Open Sans"/>
          <w:color w:val="000000"/>
          <w:sz w:val="24"/>
          <w:szCs w:val="24"/>
        </w:rPr>
        <w:t>ed</w:t>
      </w:r>
      <w:proofErr w:type="gramEnd"/>
      <w:r w:rsidRPr="006C3AA7">
        <w:rPr>
          <w:rFonts w:ascii="Open Sans" w:eastAsia="Times New Roman" w:hAnsi="Open Sans" w:cs="Open Sans"/>
          <w:color w:val="000000"/>
          <w:sz w:val="24"/>
          <w:szCs w:val="24"/>
        </w:rPr>
        <w:t>.). McGraw-Hill Education.</w:t>
      </w:r>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xml:space="preserve">Hammond, J. S., Keeney, R. L., &amp; </w:t>
      </w:r>
      <w:proofErr w:type="spellStart"/>
      <w:r w:rsidRPr="006C3AA7">
        <w:rPr>
          <w:rFonts w:ascii="Open Sans" w:eastAsia="Times New Roman" w:hAnsi="Open Sans" w:cs="Open Sans"/>
          <w:color w:val="000000"/>
          <w:sz w:val="24"/>
          <w:szCs w:val="24"/>
        </w:rPr>
        <w:t>Raiffa</w:t>
      </w:r>
      <w:proofErr w:type="spellEnd"/>
      <w:r w:rsidRPr="006C3AA7">
        <w:rPr>
          <w:rFonts w:ascii="Open Sans" w:eastAsia="Times New Roman" w:hAnsi="Open Sans" w:cs="Open Sans"/>
          <w:color w:val="000000"/>
          <w:sz w:val="24"/>
          <w:szCs w:val="24"/>
        </w:rPr>
        <w:t>, H. (1998). The hidden traps in decision making. </w:t>
      </w:r>
      <w:r w:rsidRPr="006C3AA7">
        <w:rPr>
          <w:rFonts w:ascii="inherit" w:eastAsia="Times New Roman" w:hAnsi="inherit" w:cs="Open Sans"/>
          <w:i/>
          <w:iCs/>
          <w:color w:val="000000"/>
          <w:sz w:val="20"/>
          <w:szCs w:val="20"/>
          <w:bdr w:val="none" w:sz="0" w:space="0" w:color="auto" w:frame="1"/>
        </w:rPr>
        <w:t>Harvard Business Review</w:t>
      </w:r>
      <w:r w:rsidRPr="006C3AA7">
        <w:rPr>
          <w:rFonts w:ascii="Open Sans" w:eastAsia="Times New Roman" w:hAnsi="Open Sans" w:cs="Open Sans"/>
          <w:color w:val="000000"/>
          <w:sz w:val="24"/>
          <w:szCs w:val="24"/>
        </w:rPr>
        <w:t>, </w:t>
      </w:r>
      <w:r w:rsidRPr="006C3AA7">
        <w:rPr>
          <w:rFonts w:ascii="inherit" w:eastAsia="Times New Roman" w:hAnsi="inherit" w:cs="Open Sans"/>
          <w:i/>
          <w:iCs/>
          <w:color w:val="000000"/>
          <w:sz w:val="20"/>
          <w:szCs w:val="20"/>
          <w:bdr w:val="none" w:sz="0" w:space="0" w:color="auto" w:frame="1"/>
        </w:rPr>
        <w:t>Sep-Oct</w:t>
      </w:r>
      <w:r w:rsidRPr="006C3AA7">
        <w:rPr>
          <w:rFonts w:ascii="Open Sans" w:eastAsia="Times New Roman" w:hAnsi="Open Sans" w:cs="Open Sans"/>
          <w:color w:val="000000"/>
          <w:sz w:val="24"/>
          <w:szCs w:val="24"/>
        </w:rPr>
        <w:t>. </w:t>
      </w:r>
      <w:hyperlink r:id="rId4" w:history="1">
        <w:r w:rsidRPr="006C3AA7">
          <w:rPr>
            <w:rFonts w:ascii="inherit" w:eastAsia="Times New Roman" w:hAnsi="inherit" w:cs="Open Sans"/>
            <w:color w:val="1874A4"/>
            <w:sz w:val="20"/>
            <w:szCs w:val="20"/>
            <w:u w:val="single"/>
            <w:bdr w:val="none" w:sz="0" w:space="0" w:color="auto" w:frame="1"/>
          </w:rPr>
          <w:t>https://hbr.org/1998/09/the-hidden-traps-in-decision-making-2</w:t>
        </w:r>
      </w:hyperlink>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proofErr w:type="spellStart"/>
      <w:r w:rsidRPr="006C3AA7">
        <w:rPr>
          <w:rFonts w:ascii="Open Sans" w:eastAsia="Times New Roman" w:hAnsi="Open Sans" w:cs="Open Sans"/>
          <w:color w:val="000000"/>
          <w:sz w:val="24"/>
          <w:szCs w:val="24"/>
        </w:rPr>
        <w:t>Juliani</w:t>
      </w:r>
      <w:proofErr w:type="spellEnd"/>
      <w:r w:rsidRPr="006C3AA7">
        <w:rPr>
          <w:rFonts w:ascii="Open Sans" w:eastAsia="Times New Roman" w:hAnsi="Open Sans" w:cs="Open Sans"/>
          <w:color w:val="000000"/>
          <w:sz w:val="24"/>
          <w:szCs w:val="24"/>
        </w:rPr>
        <w:t>, F., &amp; Oliveira, O. (2017). Synergies between critical success factors of Lean Six Sigma and public values. </w:t>
      </w:r>
      <w:r w:rsidRPr="006C3AA7">
        <w:rPr>
          <w:rFonts w:ascii="inherit" w:eastAsia="Times New Roman" w:hAnsi="inherit" w:cs="Open Sans"/>
          <w:i/>
          <w:iCs/>
          <w:color w:val="000000"/>
          <w:sz w:val="20"/>
          <w:szCs w:val="20"/>
          <w:bdr w:val="none" w:sz="0" w:space="0" w:color="auto" w:frame="1"/>
        </w:rPr>
        <w:t>Total Quality Management &amp; Business Excellence</w:t>
      </w:r>
      <w:r w:rsidRPr="006C3AA7">
        <w:rPr>
          <w:rFonts w:ascii="Open Sans" w:eastAsia="Times New Roman" w:hAnsi="Open Sans" w:cs="Open Sans"/>
          <w:color w:val="000000"/>
          <w:sz w:val="24"/>
          <w:szCs w:val="24"/>
        </w:rPr>
        <w:t>, </w:t>
      </w:r>
      <w:r w:rsidRPr="006C3AA7">
        <w:rPr>
          <w:rFonts w:ascii="inherit" w:eastAsia="Times New Roman" w:hAnsi="inherit" w:cs="Open Sans"/>
          <w:i/>
          <w:iCs/>
          <w:color w:val="000000"/>
          <w:sz w:val="20"/>
          <w:szCs w:val="20"/>
          <w:bdr w:val="none" w:sz="0" w:space="0" w:color="auto" w:frame="1"/>
        </w:rPr>
        <w:t>30</w:t>
      </w:r>
      <w:r w:rsidRPr="006C3AA7">
        <w:rPr>
          <w:rFonts w:ascii="Open Sans" w:eastAsia="Times New Roman" w:hAnsi="Open Sans" w:cs="Open Sans"/>
          <w:color w:val="000000"/>
          <w:sz w:val="24"/>
          <w:szCs w:val="24"/>
        </w:rPr>
        <w:t>(15-16), 1563–1577. </w:t>
      </w:r>
      <w:hyperlink r:id="rId5" w:history="1">
        <w:r w:rsidRPr="006C3AA7">
          <w:rPr>
            <w:rFonts w:ascii="inherit" w:eastAsia="Times New Roman" w:hAnsi="inherit" w:cs="Open Sans"/>
            <w:color w:val="1874A4"/>
            <w:sz w:val="20"/>
            <w:szCs w:val="20"/>
            <w:u w:val="single"/>
            <w:bdr w:val="none" w:sz="0" w:space="0" w:color="auto" w:frame="1"/>
          </w:rPr>
          <w:t>https://doi.org/10.1080/14783363.2017.1383153</w:t>
        </w:r>
      </w:hyperlink>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Kovach, J. V., &amp; Ingle, D. (2019). Using Lean Six Sigma to reduce patient cycle time in a nonprofit community clinic. </w:t>
      </w:r>
      <w:r w:rsidRPr="006C3AA7">
        <w:rPr>
          <w:rFonts w:ascii="inherit" w:eastAsia="Times New Roman" w:hAnsi="inherit" w:cs="Open Sans"/>
          <w:i/>
          <w:iCs/>
          <w:color w:val="000000"/>
          <w:sz w:val="20"/>
          <w:szCs w:val="20"/>
          <w:bdr w:val="none" w:sz="0" w:space="0" w:color="auto" w:frame="1"/>
        </w:rPr>
        <w:t>Quality Management in Health Care</w:t>
      </w:r>
      <w:r w:rsidRPr="006C3AA7">
        <w:rPr>
          <w:rFonts w:ascii="Open Sans" w:eastAsia="Times New Roman" w:hAnsi="Open Sans" w:cs="Open Sans"/>
          <w:color w:val="000000"/>
          <w:sz w:val="24"/>
          <w:szCs w:val="24"/>
        </w:rPr>
        <w:t>, </w:t>
      </w:r>
      <w:r w:rsidRPr="006C3AA7">
        <w:rPr>
          <w:rFonts w:ascii="inherit" w:eastAsia="Times New Roman" w:hAnsi="inherit" w:cs="Open Sans"/>
          <w:i/>
          <w:iCs/>
          <w:color w:val="000000"/>
          <w:sz w:val="20"/>
          <w:szCs w:val="20"/>
          <w:bdr w:val="none" w:sz="0" w:space="0" w:color="auto" w:frame="1"/>
        </w:rPr>
        <w:t>28</w:t>
      </w:r>
      <w:r w:rsidRPr="006C3AA7">
        <w:rPr>
          <w:rFonts w:ascii="Open Sans" w:eastAsia="Times New Roman" w:hAnsi="Open Sans" w:cs="Open Sans"/>
          <w:color w:val="000000"/>
          <w:sz w:val="24"/>
          <w:szCs w:val="24"/>
        </w:rPr>
        <w:t>(3), 169–175. </w:t>
      </w:r>
      <w:hyperlink r:id="rId6" w:history="1">
        <w:r w:rsidRPr="006C3AA7">
          <w:rPr>
            <w:rFonts w:ascii="inherit" w:eastAsia="Times New Roman" w:hAnsi="inherit" w:cs="Open Sans"/>
            <w:color w:val="1874A4"/>
            <w:sz w:val="20"/>
            <w:szCs w:val="20"/>
            <w:u w:val="single"/>
            <w:bdr w:val="none" w:sz="0" w:space="0" w:color="auto" w:frame="1"/>
          </w:rPr>
          <w:t>https://doi.org/10.1097/qmh.0000000000000215</w:t>
        </w:r>
      </w:hyperlink>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proofErr w:type="spellStart"/>
      <w:r w:rsidRPr="006C3AA7">
        <w:rPr>
          <w:rFonts w:ascii="Open Sans" w:eastAsia="Times New Roman" w:hAnsi="Open Sans" w:cs="Open Sans"/>
          <w:color w:val="000000"/>
          <w:sz w:val="24"/>
          <w:szCs w:val="24"/>
        </w:rPr>
        <w:t>Rumelt</w:t>
      </w:r>
      <w:proofErr w:type="spellEnd"/>
      <w:r w:rsidRPr="006C3AA7">
        <w:rPr>
          <w:rFonts w:ascii="Open Sans" w:eastAsia="Times New Roman" w:hAnsi="Open Sans" w:cs="Open Sans"/>
          <w:color w:val="000000"/>
          <w:sz w:val="24"/>
          <w:szCs w:val="24"/>
        </w:rPr>
        <w:t>, R. (2011). </w:t>
      </w:r>
      <w:r w:rsidRPr="006C3AA7">
        <w:rPr>
          <w:rFonts w:ascii="inherit" w:eastAsia="Times New Roman" w:hAnsi="inherit" w:cs="Open Sans"/>
          <w:i/>
          <w:iCs/>
          <w:color w:val="000000"/>
          <w:sz w:val="20"/>
          <w:szCs w:val="20"/>
          <w:bdr w:val="none" w:sz="0" w:space="0" w:color="auto" w:frame="1"/>
        </w:rPr>
        <w:t>Good strategy bad strategy: The difference and why it matters</w:t>
      </w:r>
      <w:r w:rsidRPr="006C3AA7">
        <w:rPr>
          <w:rFonts w:ascii="Open Sans" w:eastAsia="Times New Roman" w:hAnsi="Open Sans" w:cs="Open Sans"/>
          <w:color w:val="000000"/>
          <w:sz w:val="24"/>
          <w:szCs w:val="24"/>
        </w:rPr>
        <w:t xml:space="preserve"> (1st </w:t>
      </w:r>
      <w:proofErr w:type="gramStart"/>
      <w:r w:rsidRPr="006C3AA7">
        <w:rPr>
          <w:rFonts w:ascii="Open Sans" w:eastAsia="Times New Roman" w:hAnsi="Open Sans" w:cs="Open Sans"/>
          <w:color w:val="000000"/>
          <w:sz w:val="24"/>
          <w:szCs w:val="24"/>
        </w:rPr>
        <w:t>ed</w:t>
      </w:r>
      <w:proofErr w:type="gramEnd"/>
      <w:r w:rsidRPr="006C3AA7">
        <w:rPr>
          <w:rFonts w:ascii="Open Sans" w:eastAsia="Times New Roman" w:hAnsi="Open Sans" w:cs="Open Sans"/>
          <w:color w:val="000000"/>
          <w:sz w:val="24"/>
          <w:szCs w:val="24"/>
        </w:rPr>
        <w:t>.). Currency.</w:t>
      </w:r>
    </w:p>
    <w:p w:rsidR="006C3AA7" w:rsidRPr="006C3AA7" w:rsidRDefault="006C3AA7" w:rsidP="006C3AA7">
      <w:pPr>
        <w:spacing w:after="0" w:line="240" w:lineRule="auto"/>
        <w:rPr>
          <w:rFonts w:ascii="Times New Roman" w:eastAsia="Times New Roman" w:hAnsi="Times New Roman" w:cs="Times New Roman"/>
          <w:sz w:val="24"/>
          <w:szCs w:val="24"/>
        </w:rPr>
      </w:pPr>
      <w:r w:rsidRPr="006C3AA7">
        <w:rPr>
          <w:rFonts w:ascii="Open Sans" w:eastAsia="Times New Roman" w:hAnsi="Open Sans" w:cs="Open Sans"/>
          <w:color w:val="000000"/>
          <w:sz w:val="24"/>
          <w:szCs w:val="24"/>
        </w:rPr>
        <w:lastRenderedPageBreak/>
        <w:br/>
      </w:r>
    </w:p>
    <w:p w:rsidR="006C3AA7" w:rsidRPr="006C3AA7" w:rsidRDefault="006C3AA7" w:rsidP="006C3AA7">
      <w:pPr>
        <w:shd w:val="clear" w:color="auto" w:fill="E6E6E6"/>
        <w:spacing w:after="240" w:line="390" w:lineRule="atLeast"/>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w:t>
      </w:r>
    </w:p>
    <w:p w:rsidR="006C3AA7" w:rsidRPr="006C3AA7" w:rsidRDefault="006C3AA7" w:rsidP="006C3AA7">
      <w:pPr>
        <w:spacing w:after="0" w:line="240" w:lineRule="auto"/>
        <w:rPr>
          <w:rFonts w:ascii="Times New Roman" w:eastAsia="Times New Roman" w:hAnsi="Times New Roman" w:cs="Times New Roman"/>
          <w:sz w:val="24"/>
          <w:szCs w:val="24"/>
        </w:rPr>
      </w:pPr>
      <w:r w:rsidRPr="006C3AA7">
        <w:rPr>
          <w:rFonts w:ascii="Open Sans" w:eastAsia="Times New Roman" w:hAnsi="Open Sans" w:cs="Open Sans"/>
          <w:color w:val="000000"/>
          <w:sz w:val="24"/>
          <w:szCs w:val="24"/>
        </w:rPr>
        <w:br/>
      </w:r>
    </w:p>
    <w:p w:rsidR="006C3AA7" w:rsidRPr="006C3AA7" w:rsidRDefault="006C3AA7" w:rsidP="006C3AA7">
      <w:pPr>
        <w:shd w:val="clear" w:color="auto" w:fill="E6E6E6"/>
        <w:spacing w:after="240" w:line="390" w:lineRule="atLeast"/>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w:t>
      </w:r>
    </w:p>
    <w:p w:rsidR="006C3AA7" w:rsidRPr="006C3AA7" w:rsidRDefault="006C3AA7" w:rsidP="006C3AA7">
      <w:pPr>
        <w:shd w:val="clear" w:color="auto" w:fill="E6E6E6"/>
        <w:spacing w:after="0" w:line="240" w:lineRule="auto"/>
        <w:jc w:val="center"/>
        <w:rPr>
          <w:rFonts w:ascii="Open Sans" w:eastAsia="Times New Roman" w:hAnsi="Open Sans" w:cs="Open Sans"/>
          <w:color w:val="000000"/>
          <w:sz w:val="24"/>
          <w:szCs w:val="24"/>
        </w:rPr>
      </w:pPr>
      <w:r w:rsidRPr="006C3AA7">
        <w:rPr>
          <w:rFonts w:ascii="inherit" w:eastAsia="Times New Roman" w:hAnsi="inherit" w:cs="Open Sans"/>
          <w:b/>
          <w:bCs/>
          <w:color w:val="000000"/>
          <w:sz w:val="20"/>
          <w:szCs w:val="20"/>
          <w:bdr w:val="none" w:sz="0" w:space="0" w:color="auto" w:frame="1"/>
        </w:rPr>
        <w:t>Appendix</w:t>
      </w:r>
    </w:p>
    <w:p w:rsidR="006C3AA7" w:rsidRPr="006C3AA7" w:rsidRDefault="006C3AA7" w:rsidP="006C3AA7">
      <w:pPr>
        <w:spacing w:after="0" w:line="240" w:lineRule="auto"/>
        <w:rPr>
          <w:rFonts w:ascii="Times New Roman" w:eastAsia="Times New Roman" w:hAnsi="Times New Roman" w:cs="Times New Roman"/>
          <w:sz w:val="24"/>
          <w:szCs w:val="24"/>
        </w:rPr>
      </w:pPr>
      <w:r w:rsidRPr="006C3AA7">
        <w:rPr>
          <w:rFonts w:ascii="Open Sans" w:eastAsia="Times New Roman" w:hAnsi="Open Sans" w:cs="Open Sans"/>
          <w:color w:val="000000"/>
          <w:sz w:val="24"/>
          <w:szCs w:val="24"/>
        </w:rPr>
        <w:br/>
      </w:r>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proofErr w:type="spellStart"/>
      <w:r w:rsidRPr="006C3AA7">
        <w:rPr>
          <w:rFonts w:ascii="Open Sans" w:eastAsia="Times New Roman" w:hAnsi="Open Sans" w:cs="Open Sans"/>
          <w:color w:val="000000"/>
          <w:sz w:val="24"/>
          <w:szCs w:val="24"/>
        </w:rPr>
        <w:t>Juliani</w:t>
      </w:r>
      <w:proofErr w:type="spellEnd"/>
      <w:r w:rsidRPr="006C3AA7">
        <w:rPr>
          <w:rFonts w:ascii="Open Sans" w:eastAsia="Times New Roman" w:hAnsi="Open Sans" w:cs="Open Sans"/>
          <w:color w:val="000000"/>
          <w:sz w:val="24"/>
          <w:szCs w:val="24"/>
        </w:rPr>
        <w:t>, F., &amp; Oliveira, O. (2017). Synergies between critical success factors of Lean Six Sigma and public values. </w:t>
      </w:r>
      <w:r w:rsidRPr="006C3AA7">
        <w:rPr>
          <w:rFonts w:ascii="inherit" w:eastAsia="Times New Roman" w:hAnsi="inherit" w:cs="Open Sans"/>
          <w:i/>
          <w:iCs/>
          <w:color w:val="000000"/>
          <w:sz w:val="20"/>
          <w:szCs w:val="20"/>
          <w:bdr w:val="none" w:sz="0" w:space="0" w:color="auto" w:frame="1"/>
        </w:rPr>
        <w:t>Total Quality Management &amp; Business Excellence</w:t>
      </w:r>
      <w:r w:rsidRPr="006C3AA7">
        <w:rPr>
          <w:rFonts w:ascii="Open Sans" w:eastAsia="Times New Roman" w:hAnsi="Open Sans" w:cs="Open Sans"/>
          <w:color w:val="000000"/>
          <w:sz w:val="24"/>
          <w:szCs w:val="24"/>
        </w:rPr>
        <w:t>, </w:t>
      </w:r>
      <w:r w:rsidRPr="006C3AA7">
        <w:rPr>
          <w:rFonts w:ascii="inherit" w:eastAsia="Times New Roman" w:hAnsi="inherit" w:cs="Open Sans"/>
          <w:i/>
          <w:iCs/>
          <w:color w:val="000000"/>
          <w:sz w:val="20"/>
          <w:szCs w:val="20"/>
          <w:bdr w:val="none" w:sz="0" w:space="0" w:color="auto" w:frame="1"/>
        </w:rPr>
        <w:t>30</w:t>
      </w:r>
      <w:r w:rsidRPr="006C3AA7">
        <w:rPr>
          <w:rFonts w:ascii="Open Sans" w:eastAsia="Times New Roman" w:hAnsi="Open Sans" w:cs="Open Sans"/>
          <w:color w:val="000000"/>
          <w:sz w:val="24"/>
          <w:szCs w:val="24"/>
        </w:rPr>
        <w:t>(15-16), 1563–1577. </w:t>
      </w:r>
      <w:hyperlink r:id="rId7" w:history="1">
        <w:r w:rsidRPr="006C3AA7">
          <w:rPr>
            <w:rFonts w:ascii="inherit" w:eastAsia="Times New Roman" w:hAnsi="inherit" w:cs="Open Sans"/>
            <w:color w:val="1874A4"/>
            <w:sz w:val="20"/>
            <w:szCs w:val="20"/>
            <w:u w:val="single"/>
            <w:bdr w:val="none" w:sz="0" w:space="0" w:color="auto" w:frame="1"/>
          </w:rPr>
          <w:t>https://doi.org/10.1080/14783363.2017.1383153</w:t>
        </w:r>
      </w:hyperlink>
    </w:p>
    <w:p w:rsidR="006C3AA7" w:rsidRPr="006C3AA7" w:rsidRDefault="006C3AA7" w:rsidP="006C3AA7">
      <w:pPr>
        <w:shd w:val="clear" w:color="auto" w:fill="E6E6E6"/>
        <w:spacing w:after="240" w:line="390" w:lineRule="atLeast"/>
        <w:ind w:left="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The purpose of this article is to research the alignment between the critical success factors of the continuous improvement tool Lean Six Sigma (LSS) with the overall mission of not-for-profit organizations. Traditionally used in the private sector, LSS can be an effective tool in other industries. With a limited amount of resources, the not-for-profit industry must ensure they are operating with a keen eye on fiscal leanness and ensuring the operating activities are adding value. An organization will identify the critical success factors for its business strategy. Using a tool such as LSS supports an organization’s ability to ensure the strategy is implemented correctly.</w:t>
      </w:r>
    </w:p>
    <w:p w:rsidR="006C3AA7" w:rsidRPr="006C3AA7" w:rsidRDefault="006C3AA7" w:rsidP="006C3AA7">
      <w:pPr>
        <w:shd w:val="clear" w:color="auto" w:fill="E6E6E6"/>
        <w:spacing w:after="240" w:line="390" w:lineRule="atLeast"/>
        <w:ind w:left="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The quality of the article is good. The article structure includes the abstract, introduction, theoretical review, research method, discussion, and conclusion sections. The quality of the authors is good. Limitations of the research and recommendations for further study are included. The theoretical review was well organized and supported the thesis of the research article. Supported research is provided for critical success factors, LSS, and public service values. The research method for the theoretical review was well defined. The methodology used was concise, the databases searched identified, and a table was produced to list the number of articles by category.</w:t>
      </w:r>
    </w:p>
    <w:p w:rsidR="006C3AA7" w:rsidRPr="006C3AA7" w:rsidRDefault="006C3AA7" w:rsidP="006C3AA7">
      <w:pPr>
        <w:shd w:val="clear" w:color="auto" w:fill="E6E6E6"/>
        <w:spacing w:after="240" w:line="390" w:lineRule="atLeast"/>
        <w:ind w:left="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xml:space="preserve">The article is relevant to the discussion. The research's primary synergy is developing a business strategy utilizing legal statutes to maintain a </w:t>
      </w:r>
      <w:r w:rsidRPr="006C3AA7">
        <w:rPr>
          <w:rFonts w:ascii="Open Sans" w:eastAsia="Times New Roman" w:hAnsi="Open Sans" w:cs="Open Sans"/>
          <w:color w:val="000000"/>
          <w:sz w:val="24"/>
          <w:szCs w:val="24"/>
        </w:rPr>
        <w:lastRenderedPageBreak/>
        <w:t>competitive advantage. Another synergy identified by the research is developing the business strategy with efficient supply, such as engaging technology to drive innovation. The article demonstrates the importance of continuous improvement analysis to ensure the business strategies are implemented well.</w:t>
      </w:r>
    </w:p>
    <w:p w:rsidR="006C3AA7" w:rsidRPr="006C3AA7" w:rsidRDefault="006C3AA7" w:rsidP="006C3AA7">
      <w:pPr>
        <w:shd w:val="clear" w:color="auto" w:fill="E6E6E6"/>
        <w:spacing w:after="240" w:line="390" w:lineRule="atLeast"/>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w:t>
      </w:r>
    </w:p>
    <w:p w:rsidR="006C3AA7" w:rsidRPr="006C3AA7" w:rsidRDefault="006C3AA7" w:rsidP="006C3AA7">
      <w:pPr>
        <w:shd w:val="clear" w:color="auto" w:fill="E6E6E6"/>
        <w:spacing w:after="0" w:line="390" w:lineRule="atLeast"/>
        <w:ind w:left="720" w:hanging="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Kovach, J. V., &amp; Ingle, D. (2019). Using Lean Six Sigma to reduce patient cycle time in a nonprofit community clinic. </w:t>
      </w:r>
      <w:r w:rsidRPr="006C3AA7">
        <w:rPr>
          <w:rFonts w:ascii="inherit" w:eastAsia="Times New Roman" w:hAnsi="inherit" w:cs="Open Sans"/>
          <w:i/>
          <w:iCs/>
          <w:color w:val="000000"/>
          <w:sz w:val="20"/>
          <w:szCs w:val="20"/>
          <w:bdr w:val="none" w:sz="0" w:space="0" w:color="auto" w:frame="1"/>
        </w:rPr>
        <w:t>Quality Management in Health Care</w:t>
      </w:r>
      <w:r w:rsidRPr="006C3AA7">
        <w:rPr>
          <w:rFonts w:ascii="Open Sans" w:eastAsia="Times New Roman" w:hAnsi="Open Sans" w:cs="Open Sans"/>
          <w:color w:val="000000"/>
          <w:sz w:val="24"/>
          <w:szCs w:val="24"/>
        </w:rPr>
        <w:t>, </w:t>
      </w:r>
      <w:r w:rsidRPr="006C3AA7">
        <w:rPr>
          <w:rFonts w:ascii="inherit" w:eastAsia="Times New Roman" w:hAnsi="inherit" w:cs="Open Sans"/>
          <w:i/>
          <w:iCs/>
          <w:color w:val="000000"/>
          <w:sz w:val="20"/>
          <w:szCs w:val="20"/>
          <w:bdr w:val="none" w:sz="0" w:space="0" w:color="auto" w:frame="1"/>
        </w:rPr>
        <w:t>28</w:t>
      </w:r>
      <w:r w:rsidRPr="006C3AA7">
        <w:rPr>
          <w:rFonts w:ascii="Open Sans" w:eastAsia="Times New Roman" w:hAnsi="Open Sans" w:cs="Open Sans"/>
          <w:color w:val="000000"/>
          <w:sz w:val="24"/>
          <w:szCs w:val="24"/>
        </w:rPr>
        <w:t>(3), 169–175. </w:t>
      </w:r>
      <w:hyperlink r:id="rId8" w:history="1">
        <w:r w:rsidRPr="006C3AA7">
          <w:rPr>
            <w:rFonts w:ascii="inherit" w:eastAsia="Times New Roman" w:hAnsi="inherit" w:cs="Open Sans"/>
            <w:color w:val="1874A4"/>
            <w:sz w:val="20"/>
            <w:szCs w:val="20"/>
            <w:u w:val="single"/>
            <w:bdr w:val="none" w:sz="0" w:space="0" w:color="auto" w:frame="1"/>
          </w:rPr>
          <w:t>https://doi.org/10.1097/qmh.0000000000000215</w:t>
        </w:r>
      </w:hyperlink>
    </w:p>
    <w:p w:rsidR="006C3AA7" w:rsidRPr="006C3AA7" w:rsidRDefault="006C3AA7" w:rsidP="006C3AA7">
      <w:pPr>
        <w:shd w:val="clear" w:color="auto" w:fill="E6E6E6"/>
        <w:spacing w:after="240" w:line="390" w:lineRule="atLeast"/>
        <w:ind w:left="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The research article is a case study of a nonprofit community clinic that utilized Lean Six Sigma (LSS) to improve the consumer experience. The clinic developed a strategy to reduce patient cycle time and utilized the LSS tool to identify waste sources and monitor the strategic plan's implementation. A key component of LSS is the use of the DMAIC methodology, which consists of the phases define, measure, analyze, improve, and control. These phases correlate with the strategy’s development, implementation, and monitoring.</w:t>
      </w:r>
    </w:p>
    <w:p w:rsidR="006C3AA7" w:rsidRPr="006C3AA7" w:rsidRDefault="006C3AA7" w:rsidP="006C3AA7">
      <w:pPr>
        <w:shd w:val="clear" w:color="auto" w:fill="E6E6E6"/>
        <w:spacing w:after="240" w:line="390" w:lineRule="atLeast"/>
        <w:ind w:left="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The quality of the research article is fair. The article’s structure included the abstract, introduction, background, application, results and discussion, and conclusions sections. The literature review was not formalized in the research article, but the authors did incorporate a significant amount of research into the article. The quality of the authors is fair. The research article is based on a single case, and the authors acknowledged its limitations as a single case study that may not be easily replicated. The authors do not provide recommendations for further study, nor do they evaluate other study limitations. The authors should have included their recommendations and expanded on their study’s limitations for readers.</w:t>
      </w:r>
    </w:p>
    <w:p w:rsidR="006C3AA7" w:rsidRPr="006C3AA7" w:rsidRDefault="006C3AA7" w:rsidP="006C3AA7">
      <w:pPr>
        <w:shd w:val="clear" w:color="auto" w:fill="E6E6E6"/>
        <w:spacing w:after="240" w:line="390" w:lineRule="atLeast"/>
        <w:ind w:left="720"/>
        <w:rPr>
          <w:rFonts w:ascii="Open Sans" w:eastAsia="Times New Roman" w:hAnsi="Open Sans" w:cs="Open Sans"/>
          <w:color w:val="000000"/>
          <w:sz w:val="24"/>
          <w:szCs w:val="24"/>
        </w:rPr>
      </w:pPr>
      <w:r w:rsidRPr="006C3AA7">
        <w:rPr>
          <w:rFonts w:ascii="Open Sans" w:eastAsia="Times New Roman" w:hAnsi="Open Sans" w:cs="Open Sans"/>
          <w:color w:val="000000"/>
          <w:sz w:val="24"/>
          <w:szCs w:val="24"/>
        </w:rPr>
        <w:t xml:space="preserve">The article is relevant to the discussion. An organization developed a strategy to reduce patient cycle time utilizing the LSS tool and DMAIC methodology. The implementation of the strategy was then monitored and improved upon during the improvement and control phases. The research article supports </w:t>
      </w:r>
      <w:r w:rsidRPr="006C3AA7">
        <w:rPr>
          <w:rFonts w:ascii="Open Sans" w:eastAsia="Times New Roman" w:hAnsi="Open Sans" w:cs="Open Sans"/>
          <w:color w:val="000000"/>
          <w:sz w:val="24"/>
          <w:szCs w:val="24"/>
        </w:rPr>
        <w:lastRenderedPageBreak/>
        <w:t>the discussion by demonstrating the usefulness of LSS and DMAIC to provide continuous improvement while implementing an organization’s strategic plan.</w:t>
      </w:r>
    </w:p>
    <w:p w:rsidR="006C3AA7" w:rsidRDefault="006C3AA7" w:rsidP="006C3AA7">
      <w:r w:rsidRPr="006C3AA7">
        <w:rPr>
          <w:highlight w:val="yellow"/>
        </w:rPr>
        <w:t>CLASSMATE POST #</w:t>
      </w:r>
      <w:r w:rsidRPr="006C3AA7">
        <w:rPr>
          <w:highlight w:val="yellow"/>
        </w:rPr>
        <w:t>2</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Effective Execution, Design, and Decision Traps</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color w:val="000000"/>
          <w:bdr w:val="none" w:sz="0" w:space="0" w:color="auto" w:frame="1"/>
        </w:rPr>
        <w:t>Aaron V. Denton</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color w:val="000000"/>
          <w:bdr w:val="none" w:sz="0" w:space="0" w:color="auto" w:frame="1"/>
        </w:rPr>
        <w:t>School of Business, Liberty University</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Author Note</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Aaron V. Denton</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I have no known conflict of interest to disclose.</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Correspondence concerning this article should be addressed to Aaron V. Denton</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Email: </w:t>
      </w:r>
      <w:hyperlink r:id="rId9" w:history="1">
        <w:r>
          <w:rPr>
            <w:rStyle w:val="Hyperlink"/>
            <w:color w:val="1874A4"/>
            <w:bdr w:val="none" w:sz="0" w:space="0" w:color="auto" w:frame="1"/>
          </w:rPr>
          <w:t>adenton10@liberty.edu</w:t>
        </w:r>
      </w:hyperlink>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Introduction</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r>
        <w:rPr>
          <w:color w:val="000000"/>
          <w:bdr w:val="none" w:sz="0" w:space="0" w:color="auto" w:frame="1"/>
        </w:rPr>
        <w:t>The foundation of effective strategy implementation is presented including the important ingredients as well as the recognition that execution includes putting into place policies and procedures which will continue to influence strategy rather than a one-time action. Special attention is given to the resources, skills, and personnel required for successful strategy execution and is followed by a discussion of how design is integrated within strategy. The focus is on both product features as well as exploring and finding target market needs. Decision processes which often result in obstacles are discussed as decision traps that often result in unintended negative outcomes.</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Process: Effective Strategy Execution</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r>
        <w:rPr>
          <w:color w:val="000000"/>
          <w:bdr w:val="none" w:sz="0" w:space="0" w:color="auto" w:frame="1"/>
        </w:rPr>
        <w:lastRenderedPageBreak/>
        <w:t>Implementing effective strategy takes an organization wide effort, proper resources, exceptional leadership, appropriate policies, and the ability to continually assess and change when necessary (Gamble et al., 2021). Gamble et al. (2021) summarizes a few vital efforts that must be included in working a strategy into existence including quality human resources, resources and skills of the organization, and how the entity is set up in turns of work flow. Martin (2014) describes where strategy should be focused in terms of identifying some competence, capability, or resource which is not easily copied or obtained. From that perspective, it follows that the decisions of what customers to target and how to provide a value proposition are an integral part of the foundation of executing strategy (Martin, 2014). Simply put, a strategy is not executed well if done so in the wrong place.  </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r>
        <w:rPr>
          <w:color w:val="000000"/>
          <w:bdr w:val="none" w:sz="0" w:space="0" w:color="auto" w:frame="1"/>
        </w:rPr>
        <w:t xml:space="preserve">Gamble et al. (2021) list obtaining appropriate human resources as the first step towards desired outcomes and includes resources and capabilities, which could also include employees, as the second item. </w:t>
      </w:r>
      <w:proofErr w:type="spellStart"/>
      <w:r>
        <w:rPr>
          <w:color w:val="000000"/>
          <w:bdr w:val="none" w:sz="0" w:space="0" w:color="auto" w:frame="1"/>
        </w:rPr>
        <w:t>Juul</w:t>
      </w:r>
      <w:proofErr w:type="spellEnd"/>
      <w:r>
        <w:rPr>
          <w:color w:val="000000"/>
          <w:bdr w:val="none" w:sz="0" w:space="0" w:color="auto" w:frame="1"/>
        </w:rPr>
        <w:t xml:space="preserve"> Andersen and </w:t>
      </w:r>
      <w:proofErr w:type="spellStart"/>
      <w:r>
        <w:rPr>
          <w:color w:val="000000"/>
          <w:bdr w:val="none" w:sz="0" w:space="0" w:color="auto" w:frame="1"/>
        </w:rPr>
        <w:t>Minbaeva</w:t>
      </w:r>
      <w:proofErr w:type="spellEnd"/>
      <w:r>
        <w:rPr>
          <w:color w:val="000000"/>
          <w:bdr w:val="none" w:sz="0" w:space="0" w:color="auto" w:frame="1"/>
        </w:rPr>
        <w:t xml:space="preserve"> (2013) point out two additional important factors regarding human resources. First, the more high-quality employees there are in an organization then the higher the likelihood of formulating and executing a successful strategy and second, the communication and structure of an organization must be aligned so that vital information from all areas of the entity can be a part of the strategic process, especially due to the fact that strategy execution entails a constant evaluation and, if needed, adjustment (</w:t>
      </w:r>
      <w:proofErr w:type="spellStart"/>
      <w:r>
        <w:rPr>
          <w:color w:val="000000"/>
          <w:bdr w:val="none" w:sz="0" w:space="0" w:color="auto" w:frame="1"/>
        </w:rPr>
        <w:t>Juul</w:t>
      </w:r>
      <w:proofErr w:type="spellEnd"/>
      <w:r>
        <w:rPr>
          <w:color w:val="000000"/>
          <w:bdr w:val="none" w:sz="0" w:space="0" w:color="auto" w:frame="1"/>
        </w:rPr>
        <w:t xml:space="preserve"> Anderson &amp; </w:t>
      </w:r>
      <w:proofErr w:type="spellStart"/>
      <w:r>
        <w:rPr>
          <w:color w:val="000000"/>
          <w:bdr w:val="none" w:sz="0" w:space="0" w:color="auto" w:frame="1"/>
        </w:rPr>
        <w:t>Minbaeva</w:t>
      </w:r>
      <w:proofErr w:type="spellEnd"/>
      <w:r>
        <w:rPr>
          <w:color w:val="000000"/>
          <w:bdr w:val="none" w:sz="0" w:space="0" w:color="auto" w:frame="1"/>
        </w:rPr>
        <w:t>, 2013). </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 xml:space="preserve">Power of Design </w:t>
      </w:r>
      <w:proofErr w:type="gramStart"/>
      <w:r>
        <w:rPr>
          <w:b/>
          <w:bCs/>
          <w:color w:val="000000"/>
          <w:bdr w:val="none" w:sz="0" w:space="0" w:color="auto" w:frame="1"/>
        </w:rPr>
        <w:t>Versus</w:t>
      </w:r>
      <w:proofErr w:type="gramEnd"/>
      <w:r>
        <w:rPr>
          <w:b/>
          <w:bCs/>
          <w:color w:val="000000"/>
          <w:bdr w:val="none" w:sz="0" w:space="0" w:color="auto" w:frame="1"/>
        </w:rPr>
        <w:t xml:space="preserve"> Power of Focus</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proofErr w:type="spellStart"/>
      <w:r>
        <w:rPr>
          <w:color w:val="000000"/>
          <w:bdr w:val="none" w:sz="0" w:space="0" w:color="auto" w:frame="1"/>
        </w:rPr>
        <w:t>Rumelt</w:t>
      </w:r>
      <w:proofErr w:type="spellEnd"/>
      <w:r>
        <w:rPr>
          <w:color w:val="000000"/>
          <w:bdr w:val="none" w:sz="0" w:space="0" w:color="auto" w:frame="1"/>
        </w:rPr>
        <w:t xml:space="preserve"> (2011) presents the thought of customer-based design into the strategic process, agreeing with Martin’s (2014) assertion that strategy must be designed and consistently refined by analyzing the value proposition to the customer. In fact, </w:t>
      </w:r>
      <w:proofErr w:type="spellStart"/>
      <w:r>
        <w:rPr>
          <w:color w:val="000000"/>
          <w:bdr w:val="none" w:sz="0" w:space="0" w:color="auto" w:frame="1"/>
        </w:rPr>
        <w:t>Rumelt</w:t>
      </w:r>
      <w:proofErr w:type="spellEnd"/>
      <w:r>
        <w:rPr>
          <w:color w:val="000000"/>
          <w:bdr w:val="none" w:sz="0" w:space="0" w:color="auto" w:frame="1"/>
        </w:rPr>
        <w:t xml:space="preserve"> (2011) adds that the typical successfully designed strategy incorporates the positive and negative impacts to the customer of the full array of product features and capabilities, not merely a single one. Design again relates to Gamble et al.’s (2021) note regarding resources as an expansion of resources can allow for additional advantages through features (</w:t>
      </w:r>
      <w:proofErr w:type="spellStart"/>
      <w:r>
        <w:rPr>
          <w:color w:val="000000"/>
          <w:bdr w:val="none" w:sz="0" w:space="0" w:color="auto" w:frame="1"/>
        </w:rPr>
        <w:t>Rumelt</w:t>
      </w:r>
      <w:proofErr w:type="spellEnd"/>
      <w:r>
        <w:rPr>
          <w:color w:val="000000"/>
          <w:bdr w:val="none" w:sz="0" w:space="0" w:color="auto" w:frame="1"/>
        </w:rPr>
        <w:t>, 2011). Design explicitly relates to using some type of restricted resource and arranging current and desired features so as to best provide value that customers would desire (</w:t>
      </w:r>
      <w:proofErr w:type="spellStart"/>
      <w:r>
        <w:rPr>
          <w:color w:val="000000"/>
          <w:bdr w:val="none" w:sz="0" w:space="0" w:color="auto" w:frame="1"/>
        </w:rPr>
        <w:t>Rumelt</w:t>
      </w:r>
      <w:proofErr w:type="spellEnd"/>
      <w:r>
        <w:rPr>
          <w:color w:val="000000"/>
          <w:bdr w:val="none" w:sz="0" w:space="0" w:color="auto" w:frame="1"/>
        </w:rPr>
        <w:t>, 2011). While organizations may enjoy a strong resource position for an extended period of time, the power of strategy design remains in a consistent effort to create new or additional advantages (</w:t>
      </w:r>
      <w:proofErr w:type="spellStart"/>
      <w:r>
        <w:rPr>
          <w:color w:val="000000"/>
          <w:bdr w:val="none" w:sz="0" w:space="0" w:color="auto" w:frame="1"/>
        </w:rPr>
        <w:t>Rumelt</w:t>
      </w:r>
      <w:proofErr w:type="spellEnd"/>
      <w:r>
        <w:rPr>
          <w:color w:val="000000"/>
          <w:bdr w:val="none" w:sz="0" w:space="0" w:color="auto" w:frame="1"/>
        </w:rPr>
        <w:t>, 2011).</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r>
        <w:rPr>
          <w:color w:val="000000"/>
          <w:bdr w:val="none" w:sz="0" w:space="0" w:color="auto" w:frame="1"/>
        </w:rPr>
        <w:t xml:space="preserve">Knight et al. (2020) presents design-thinking as an effective opportunity to impact strategy through various areas including within innovation and to impact either or both of the </w:t>
      </w:r>
      <w:r>
        <w:rPr>
          <w:color w:val="000000"/>
          <w:bdr w:val="none" w:sz="0" w:space="0" w:color="auto" w:frame="1"/>
        </w:rPr>
        <w:lastRenderedPageBreak/>
        <w:t xml:space="preserve">product or for the target market. The importance of design in matching product features or opportunities with target markets is stated as vital to impacting overall success for the organization (Knight et al., 2020). Knight et al. (2020) describes the ability to move design from simply looking at target market needs to including the availability and substitutability of resources that </w:t>
      </w:r>
      <w:proofErr w:type="spellStart"/>
      <w:r>
        <w:rPr>
          <w:color w:val="000000"/>
          <w:bdr w:val="none" w:sz="0" w:space="0" w:color="auto" w:frame="1"/>
        </w:rPr>
        <w:t>Rumelt</w:t>
      </w:r>
      <w:proofErr w:type="spellEnd"/>
      <w:r>
        <w:rPr>
          <w:color w:val="000000"/>
          <w:bdr w:val="none" w:sz="0" w:space="0" w:color="auto" w:frame="1"/>
        </w:rPr>
        <w:t xml:space="preserve"> (2011) proposes.</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Decision Traps</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Hammond et al. (1998) detail several areas where managers and everyday citizens can make bad decisions, often times without even knowing it. Some of the most common traps discussed fall into a similar category with a failure to ask enough questions or dig deep enough regarding information presented. Anchoring, framing, forecasting and the confirming-evidence trap can be born out of either not vetting information properly or by not asking enough of the right questions (Hammond et al., 1998). When making decision the subconscious processes that often result in a determination are subject to similar assumptions and mistakes (Hammond et al., 1998). The status quo trap provides a fascinating view into the mind of the average person who may avoid several possible very good options for fear of moving away from the completely known current situation (Hammond et al., 1998).</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Conclusion</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Integration and innovation are seen as key components to an organization’s successful strategy especially in regards to involving all areas of a company in strategy and design both to determine design and strategy more effectively and also to communicate it more efficiently throughout the company. Specific steps should be taken to mitigate bad decisions which can be caused by one of the known decision traps.</w:t>
      </w:r>
    </w:p>
    <w:p w:rsidR="006C3AA7" w:rsidRDefault="006C3AA7" w:rsidP="006C3AA7">
      <w:pPr>
        <w:pStyle w:val="NormalWeb"/>
        <w:shd w:val="clear" w:color="auto" w:fill="E6E6E6"/>
        <w:spacing w:before="0" w:beforeAutospacing="0" w:after="0" w:afterAutospacing="0"/>
        <w:rPr>
          <w:rFonts w:ascii="Open Sans" w:hAnsi="Open Sans" w:cs="Open Sans"/>
          <w:color w:val="000000"/>
        </w:rPr>
      </w:pPr>
      <w:r>
        <w:rPr>
          <w:rFonts w:ascii="Open Sans" w:hAnsi="Open Sans" w:cs="Open Sans"/>
          <w:b/>
          <w:bCs/>
          <w:color w:val="000000"/>
          <w:bdr w:val="none" w:sz="0" w:space="0" w:color="auto" w:frame="1"/>
        </w:rPr>
        <w:br w:type="textWrapping" w:clear="all"/>
      </w:r>
      <w:r>
        <w:rPr>
          <w:rFonts w:ascii="Open Sans" w:hAnsi="Open Sans" w:cs="Open Sans"/>
          <w:b/>
          <w:bCs/>
          <w:color w:val="000000"/>
          <w:bdr w:val="none" w:sz="0" w:space="0" w:color="auto" w:frame="1"/>
        </w:rPr>
        <w:br/>
      </w:r>
    </w:p>
    <w:p w:rsidR="006C3AA7" w:rsidRDefault="006C3AA7" w:rsidP="006C3AA7">
      <w:pPr>
        <w:pStyle w:val="NormalWeb"/>
        <w:shd w:val="clear" w:color="auto" w:fill="E6E6E6"/>
        <w:spacing w:before="0" w:beforeAutospacing="0" w:after="0" w:afterAutospacing="0"/>
        <w:rPr>
          <w:rFonts w:ascii="Open Sans" w:hAnsi="Open Sans" w:cs="Open Sans"/>
          <w:color w:val="000000"/>
        </w:rPr>
      </w:pPr>
      <w:r>
        <w:rPr>
          <w:b/>
          <w:bCs/>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References</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xml:space="preserve">Gamble, J., Thompson Jr, A., &amp; </w:t>
      </w:r>
      <w:proofErr w:type="spellStart"/>
      <w:r>
        <w:rPr>
          <w:color w:val="000000"/>
          <w:bdr w:val="none" w:sz="0" w:space="0" w:color="auto" w:frame="1"/>
        </w:rPr>
        <w:t>Peteraf</w:t>
      </w:r>
      <w:proofErr w:type="spellEnd"/>
      <w:r>
        <w:rPr>
          <w:color w:val="000000"/>
          <w:bdr w:val="none" w:sz="0" w:space="0" w:color="auto" w:frame="1"/>
        </w:rPr>
        <w:t>, M. (2021). </w:t>
      </w:r>
      <w:r>
        <w:rPr>
          <w:rFonts w:ascii="Open Sans" w:hAnsi="Open Sans" w:cs="Open Sans"/>
          <w:i/>
          <w:iCs/>
          <w:color w:val="000000"/>
          <w:bdr w:val="none" w:sz="0" w:space="0" w:color="auto" w:frame="1"/>
        </w:rPr>
        <w:t>Essentials of strategic management: The</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proofErr w:type="gramStart"/>
      <w:r>
        <w:rPr>
          <w:i/>
          <w:iCs/>
          <w:color w:val="000000"/>
          <w:bdr w:val="none" w:sz="0" w:space="0" w:color="auto" w:frame="1"/>
        </w:rPr>
        <w:t>quest</w:t>
      </w:r>
      <w:proofErr w:type="gramEnd"/>
      <w:r>
        <w:rPr>
          <w:i/>
          <w:iCs/>
          <w:color w:val="000000"/>
          <w:bdr w:val="none" w:sz="0" w:space="0" w:color="auto" w:frame="1"/>
        </w:rPr>
        <w:t xml:space="preserve"> for competitive advantage,</w:t>
      </w:r>
      <w:r>
        <w:rPr>
          <w:color w:val="000000"/>
          <w:bdr w:val="none" w:sz="0" w:space="0" w:color="auto" w:frame="1"/>
        </w:rPr>
        <w:t> 7e. McGraw-Hill Education.</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xml:space="preserve">Hammond, J. S., Keeney, R. L., &amp; </w:t>
      </w:r>
      <w:proofErr w:type="spellStart"/>
      <w:r>
        <w:rPr>
          <w:color w:val="000000"/>
          <w:bdr w:val="none" w:sz="0" w:space="0" w:color="auto" w:frame="1"/>
        </w:rPr>
        <w:t>Raiffa</w:t>
      </w:r>
      <w:proofErr w:type="spellEnd"/>
      <w:r>
        <w:rPr>
          <w:color w:val="000000"/>
          <w:bdr w:val="none" w:sz="0" w:space="0" w:color="auto" w:frame="1"/>
        </w:rPr>
        <w:t>, H. (1998). The hidden traps in decision</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proofErr w:type="gramStart"/>
      <w:r>
        <w:rPr>
          <w:color w:val="000000"/>
          <w:bdr w:val="none" w:sz="0" w:space="0" w:color="auto" w:frame="1"/>
        </w:rPr>
        <w:t>making</w:t>
      </w:r>
      <w:proofErr w:type="gramEnd"/>
      <w:r>
        <w:rPr>
          <w:color w:val="000000"/>
          <w:bdr w:val="none" w:sz="0" w:space="0" w:color="auto" w:frame="1"/>
        </w:rPr>
        <w:t>. </w:t>
      </w:r>
      <w:r>
        <w:rPr>
          <w:rFonts w:ascii="Open Sans" w:hAnsi="Open Sans" w:cs="Open Sans"/>
          <w:i/>
          <w:iCs/>
          <w:color w:val="000000"/>
          <w:bdr w:val="none" w:sz="0" w:space="0" w:color="auto" w:frame="1"/>
        </w:rPr>
        <w:t>Harvard business review</w:t>
      </w:r>
      <w:r>
        <w:rPr>
          <w:color w:val="000000"/>
          <w:bdr w:val="none" w:sz="0" w:space="0" w:color="auto" w:frame="1"/>
        </w:rPr>
        <w:t>, </w:t>
      </w:r>
      <w:r>
        <w:rPr>
          <w:rFonts w:ascii="Open Sans" w:hAnsi="Open Sans" w:cs="Open Sans"/>
          <w:i/>
          <w:iCs/>
          <w:color w:val="000000"/>
          <w:bdr w:val="none" w:sz="0" w:space="0" w:color="auto" w:frame="1"/>
        </w:rPr>
        <w:t>76</w:t>
      </w:r>
      <w:r>
        <w:rPr>
          <w:color w:val="000000"/>
          <w:bdr w:val="none" w:sz="0" w:space="0" w:color="auto" w:frame="1"/>
        </w:rPr>
        <w:t>(5), 47-58.</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proofErr w:type="spellStart"/>
      <w:r>
        <w:rPr>
          <w:color w:val="000000"/>
          <w:bdr w:val="none" w:sz="0" w:space="0" w:color="auto" w:frame="1"/>
        </w:rPr>
        <w:t>Juul</w:t>
      </w:r>
      <w:proofErr w:type="spellEnd"/>
      <w:r>
        <w:rPr>
          <w:color w:val="000000"/>
          <w:bdr w:val="none" w:sz="0" w:space="0" w:color="auto" w:frame="1"/>
        </w:rPr>
        <w:t xml:space="preserve"> Andersen, T., &amp; </w:t>
      </w:r>
      <w:proofErr w:type="spellStart"/>
      <w:r>
        <w:rPr>
          <w:color w:val="000000"/>
          <w:bdr w:val="none" w:sz="0" w:space="0" w:color="auto" w:frame="1"/>
        </w:rPr>
        <w:t>Minbaeva</w:t>
      </w:r>
      <w:proofErr w:type="spellEnd"/>
      <w:r>
        <w:rPr>
          <w:color w:val="000000"/>
          <w:bdr w:val="none" w:sz="0" w:space="0" w:color="auto" w:frame="1"/>
        </w:rPr>
        <w:t>, D. (2013). The role of human resource management in strategy</w:t>
      </w:r>
    </w:p>
    <w:p w:rsidR="006C3AA7" w:rsidRDefault="006C3AA7" w:rsidP="006C3AA7">
      <w:pPr>
        <w:pStyle w:val="NormalWeb"/>
        <w:shd w:val="clear" w:color="auto" w:fill="E6E6E6"/>
        <w:spacing w:before="0" w:beforeAutospacing="0" w:after="0" w:afterAutospacing="0" w:line="390" w:lineRule="atLeast"/>
        <w:ind w:left="720"/>
        <w:rPr>
          <w:rFonts w:ascii="Open Sans" w:hAnsi="Open Sans" w:cs="Open Sans"/>
          <w:color w:val="000000"/>
        </w:rPr>
      </w:pPr>
      <w:proofErr w:type="gramStart"/>
      <w:r>
        <w:rPr>
          <w:color w:val="000000"/>
          <w:bdr w:val="none" w:sz="0" w:space="0" w:color="auto" w:frame="1"/>
        </w:rPr>
        <w:t>making</w:t>
      </w:r>
      <w:proofErr w:type="gramEnd"/>
      <w:r>
        <w:rPr>
          <w:color w:val="000000"/>
          <w:bdr w:val="none" w:sz="0" w:space="0" w:color="auto" w:frame="1"/>
        </w:rPr>
        <w:t>.</w:t>
      </w:r>
      <w:r>
        <w:rPr>
          <w:rFonts w:ascii="Open Sans" w:hAnsi="Open Sans" w:cs="Open Sans"/>
          <w:i/>
          <w:iCs/>
          <w:color w:val="000000"/>
          <w:bdr w:val="none" w:sz="0" w:space="0" w:color="auto" w:frame="1"/>
        </w:rPr>
        <w:t> Human Resource Management, 52</w:t>
      </w:r>
      <w:r>
        <w:rPr>
          <w:color w:val="000000"/>
          <w:bdr w:val="none" w:sz="0" w:space="0" w:color="auto" w:frame="1"/>
        </w:rPr>
        <w:t>(5), 809-827. </w:t>
      </w:r>
      <w:hyperlink r:id="rId10" w:tgtFrame="_blank" w:history="1">
        <w:r>
          <w:rPr>
            <w:rStyle w:val="Hyperlink"/>
            <w:bdr w:val="none" w:sz="0" w:space="0" w:color="auto" w:frame="1"/>
          </w:rPr>
          <w:t>https://doi.org/</w:t>
        </w:r>
      </w:hyperlink>
      <w:r>
        <w:rPr>
          <w:color w:val="000000"/>
          <w:bdr w:val="none" w:sz="0" w:space="0" w:color="auto" w:frame="1"/>
        </w:rPr>
        <w:t>10.1002/hrm.21562</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lastRenderedPageBreak/>
        <w:t xml:space="preserve">Knight, E., </w:t>
      </w:r>
      <w:proofErr w:type="spellStart"/>
      <w:r>
        <w:rPr>
          <w:color w:val="000000"/>
          <w:bdr w:val="none" w:sz="0" w:space="0" w:color="auto" w:frame="1"/>
        </w:rPr>
        <w:t>Daymond</w:t>
      </w:r>
      <w:proofErr w:type="spellEnd"/>
      <w:r>
        <w:rPr>
          <w:color w:val="000000"/>
          <w:bdr w:val="none" w:sz="0" w:space="0" w:color="auto" w:frame="1"/>
        </w:rPr>
        <w:t xml:space="preserve">, J., &amp; </w:t>
      </w:r>
      <w:proofErr w:type="spellStart"/>
      <w:r>
        <w:rPr>
          <w:color w:val="000000"/>
          <w:bdr w:val="none" w:sz="0" w:space="0" w:color="auto" w:frame="1"/>
        </w:rPr>
        <w:t>Paroutis</w:t>
      </w:r>
      <w:proofErr w:type="spellEnd"/>
      <w:r>
        <w:rPr>
          <w:color w:val="000000"/>
          <w:bdr w:val="none" w:sz="0" w:space="0" w:color="auto" w:frame="1"/>
        </w:rPr>
        <w:t>, S. (2020). Design-led strategy: How to bring design</w:t>
      </w:r>
    </w:p>
    <w:p w:rsidR="006C3AA7" w:rsidRDefault="006C3AA7" w:rsidP="006C3AA7">
      <w:pPr>
        <w:pStyle w:val="NormalWeb"/>
        <w:shd w:val="clear" w:color="auto" w:fill="E6E6E6"/>
        <w:spacing w:before="0" w:beforeAutospacing="0" w:after="0" w:afterAutospacing="0" w:line="390" w:lineRule="atLeast"/>
        <w:ind w:left="720"/>
        <w:rPr>
          <w:rFonts w:ascii="Open Sans" w:hAnsi="Open Sans" w:cs="Open Sans"/>
          <w:color w:val="000000"/>
        </w:rPr>
      </w:pPr>
      <w:proofErr w:type="gramStart"/>
      <w:r>
        <w:rPr>
          <w:color w:val="000000"/>
          <w:bdr w:val="none" w:sz="0" w:space="0" w:color="auto" w:frame="1"/>
        </w:rPr>
        <w:t>thinking</w:t>
      </w:r>
      <w:proofErr w:type="gramEnd"/>
      <w:r>
        <w:rPr>
          <w:color w:val="000000"/>
          <w:bdr w:val="none" w:sz="0" w:space="0" w:color="auto" w:frame="1"/>
        </w:rPr>
        <w:t xml:space="preserve"> into the art of strategic management.</w:t>
      </w:r>
      <w:r>
        <w:rPr>
          <w:rFonts w:ascii="Open Sans" w:hAnsi="Open Sans" w:cs="Open Sans"/>
          <w:i/>
          <w:iCs/>
          <w:color w:val="000000"/>
          <w:bdr w:val="none" w:sz="0" w:space="0" w:color="auto" w:frame="1"/>
        </w:rPr>
        <w:t> California Management Review, 62</w:t>
      </w:r>
      <w:r>
        <w:rPr>
          <w:color w:val="000000"/>
          <w:bdr w:val="none" w:sz="0" w:space="0" w:color="auto" w:frame="1"/>
        </w:rPr>
        <w:t>(2), 30-52. </w:t>
      </w:r>
      <w:hyperlink r:id="rId11" w:tgtFrame="_blank" w:history="1">
        <w:r>
          <w:rPr>
            <w:rStyle w:val="Hyperlink"/>
            <w:bdr w:val="none" w:sz="0" w:space="0" w:color="auto" w:frame="1"/>
          </w:rPr>
          <w:t>https://doi.org/</w:t>
        </w:r>
      </w:hyperlink>
      <w:r>
        <w:rPr>
          <w:color w:val="000000"/>
          <w:bdr w:val="none" w:sz="0" w:space="0" w:color="auto" w:frame="1"/>
        </w:rPr>
        <w:t>10.1177/0008125619897594</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Martin, R. L. (2014). The big lie of strategic planning. </w:t>
      </w:r>
      <w:r>
        <w:rPr>
          <w:rFonts w:ascii="Open Sans" w:hAnsi="Open Sans" w:cs="Open Sans"/>
          <w:i/>
          <w:iCs/>
          <w:color w:val="000000"/>
          <w:bdr w:val="none" w:sz="0" w:space="0" w:color="auto" w:frame="1"/>
        </w:rPr>
        <w:t>Harvard business review</w:t>
      </w:r>
      <w:r>
        <w:rPr>
          <w:color w:val="000000"/>
          <w:bdr w:val="none" w:sz="0" w:space="0" w:color="auto" w:frame="1"/>
        </w:rPr>
        <w:t>, </w:t>
      </w:r>
      <w:r>
        <w:rPr>
          <w:rFonts w:ascii="Open Sans" w:hAnsi="Open Sans" w:cs="Open Sans"/>
          <w:i/>
          <w:iCs/>
          <w:color w:val="000000"/>
          <w:bdr w:val="none" w:sz="0" w:space="0" w:color="auto" w:frame="1"/>
        </w:rPr>
        <w:t>92</w:t>
      </w:r>
      <w:r>
        <w:rPr>
          <w:color w:val="000000"/>
          <w:bdr w:val="none" w:sz="0" w:space="0" w:color="auto" w:frame="1"/>
        </w:rPr>
        <w:t>(1), 22.</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proofErr w:type="spellStart"/>
      <w:r>
        <w:rPr>
          <w:color w:val="000000"/>
          <w:bdr w:val="none" w:sz="0" w:space="0" w:color="auto" w:frame="1"/>
        </w:rPr>
        <w:t>Rumelt</w:t>
      </w:r>
      <w:proofErr w:type="spellEnd"/>
      <w:r>
        <w:rPr>
          <w:color w:val="000000"/>
          <w:bdr w:val="none" w:sz="0" w:space="0" w:color="auto" w:frame="1"/>
        </w:rPr>
        <w:t>, R. P. (2011). </w:t>
      </w:r>
      <w:r>
        <w:rPr>
          <w:rFonts w:ascii="Open Sans" w:hAnsi="Open Sans" w:cs="Open Sans"/>
          <w:i/>
          <w:iCs/>
          <w:color w:val="000000"/>
          <w:bdr w:val="none" w:sz="0" w:space="0" w:color="auto" w:frame="1"/>
        </w:rPr>
        <w:t>Good strategy, bad strategy: The difference and why it matters</w:t>
      </w:r>
      <w:r>
        <w:rPr>
          <w:color w:val="000000"/>
          <w:bdr w:val="none" w:sz="0" w:space="0" w:color="auto" w:frame="1"/>
        </w:rPr>
        <w:t xml:space="preserve"> (1st </w:t>
      </w:r>
      <w:proofErr w:type="gramStart"/>
      <w:r>
        <w:rPr>
          <w:color w:val="000000"/>
          <w:bdr w:val="none" w:sz="0" w:space="0" w:color="auto" w:frame="1"/>
        </w:rPr>
        <w:t>ed</w:t>
      </w:r>
      <w:proofErr w:type="gramEnd"/>
      <w:r>
        <w:rPr>
          <w:color w:val="000000"/>
          <w:bdr w:val="none" w:sz="0" w:space="0" w:color="auto" w:frame="1"/>
        </w:rPr>
        <w:t>.).</w:t>
      </w:r>
    </w:p>
    <w:p w:rsidR="006C3AA7" w:rsidRDefault="006C3AA7" w:rsidP="006C3AA7">
      <w:pPr>
        <w:pStyle w:val="NormalWeb"/>
        <w:shd w:val="clear" w:color="auto" w:fill="E6E6E6"/>
        <w:spacing w:before="0" w:beforeAutospacing="0" w:after="0" w:afterAutospacing="0" w:line="390" w:lineRule="atLeast"/>
        <w:ind w:firstLine="720"/>
        <w:rPr>
          <w:rFonts w:ascii="Open Sans" w:hAnsi="Open Sans" w:cs="Open Sans"/>
          <w:color w:val="000000"/>
        </w:rPr>
      </w:pPr>
      <w:r>
        <w:rPr>
          <w:color w:val="000000"/>
          <w:bdr w:val="none" w:sz="0" w:space="0" w:color="auto" w:frame="1"/>
        </w:rPr>
        <w:t>New York: Crown Business.</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rPr>
          <w:rFonts w:ascii="Open Sans" w:hAnsi="Open Sans" w:cs="Open Sans"/>
          <w:color w:val="000000"/>
        </w:rPr>
      </w:pPr>
      <w:r>
        <w:rPr>
          <w:rFonts w:ascii="Open Sans" w:hAnsi="Open Sans" w:cs="Open Sans"/>
          <w:color w:val="000000"/>
          <w:bdr w:val="none" w:sz="0" w:space="0" w:color="auto" w:frame="1"/>
        </w:rPr>
        <w:br w:type="textWrapping" w:clear="all"/>
      </w:r>
      <w:r>
        <w:rPr>
          <w:rFonts w:ascii="Open Sans" w:hAnsi="Open Sans" w:cs="Open Sans"/>
          <w:color w:val="000000"/>
          <w:bdr w:val="none" w:sz="0" w:space="0" w:color="auto" w:frame="1"/>
        </w:rPr>
        <w:br/>
      </w:r>
    </w:p>
    <w:p w:rsidR="006C3AA7" w:rsidRDefault="006C3AA7" w:rsidP="006C3AA7">
      <w:pPr>
        <w:pStyle w:val="NormalWeb"/>
        <w:shd w:val="clear" w:color="auto" w:fill="E6E6E6"/>
        <w:spacing w:before="0" w:beforeAutospacing="0" w:after="0" w:afterAutospacing="0"/>
        <w:rPr>
          <w:rFonts w:ascii="Open Sans" w:hAnsi="Open Sans" w:cs="Open Sans"/>
          <w:color w:val="000000"/>
        </w:rPr>
      </w:pPr>
      <w:r>
        <w:rPr>
          <w:color w:val="000000"/>
          <w:bdr w:val="none" w:sz="0" w:space="0" w:color="auto" w:frame="1"/>
        </w:rPr>
        <w:t> </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b/>
          <w:bCs/>
          <w:color w:val="000000"/>
          <w:bdr w:val="none" w:sz="0" w:space="0" w:color="auto" w:frame="1"/>
        </w:rPr>
        <w:t>Appendix</w:t>
      </w:r>
    </w:p>
    <w:p w:rsidR="006C3AA7" w:rsidRDefault="006C3AA7" w:rsidP="006C3AA7">
      <w:pPr>
        <w:pStyle w:val="NormalWeb"/>
        <w:shd w:val="clear" w:color="auto" w:fill="E6E6E6"/>
        <w:spacing w:before="0" w:beforeAutospacing="0" w:after="0" w:afterAutospacing="0" w:line="390" w:lineRule="atLeast"/>
        <w:jc w:val="center"/>
        <w:rPr>
          <w:rFonts w:ascii="Open Sans" w:hAnsi="Open Sans" w:cs="Open Sans"/>
          <w:color w:val="000000"/>
        </w:rPr>
      </w:pPr>
      <w:r>
        <w:rPr>
          <w:color w:val="000000"/>
          <w:bdr w:val="none" w:sz="0" w:space="0" w:color="auto" w:frame="1"/>
        </w:rPr>
        <w:t>Annotated Bibliography</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proofErr w:type="spellStart"/>
      <w:r>
        <w:rPr>
          <w:color w:val="000000"/>
          <w:bdr w:val="none" w:sz="0" w:space="0" w:color="auto" w:frame="1"/>
        </w:rPr>
        <w:t>Juul</w:t>
      </w:r>
      <w:proofErr w:type="spellEnd"/>
      <w:r>
        <w:rPr>
          <w:color w:val="000000"/>
          <w:bdr w:val="none" w:sz="0" w:space="0" w:color="auto" w:frame="1"/>
        </w:rPr>
        <w:t xml:space="preserve"> Andersen, T., &amp; </w:t>
      </w:r>
      <w:proofErr w:type="spellStart"/>
      <w:r>
        <w:rPr>
          <w:color w:val="000000"/>
          <w:bdr w:val="none" w:sz="0" w:space="0" w:color="auto" w:frame="1"/>
        </w:rPr>
        <w:t>Minbaeva</w:t>
      </w:r>
      <w:proofErr w:type="spellEnd"/>
      <w:r>
        <w:rPr>
          <w:color w:val="000000"/>
          <w:bdr w:val="none" w:sz="0" w:space="0" w:color="auto" w:frame="1"/>
        </w:rPr>
        <w:t>, D. (2013). The role of human resource management in strategy</w:t>
      </w:r>
    </w:p>
    <w:p w:rsidR="006C3AA7" w:rsidRDefault="006C3AA7" w:rsidP="006C3AA7">
      <w:pPr>
        <w:pStyle w:val="NormalWeb"/>
        <w:shd w:val="clear" w:color="auto" w:fill="E6E6E6"/>
        <w:spacing w:before="0" w:beforeAutospacing="0" w:after="0" w:afterAutospacing="0" w:line="390" w:lineRule="atLeast"/>
        <w:ind w:left="720"/>
        <w:rPr>
          <w:rFonts w:ascii="Open Sans" w:hAnsi="Open Sans" w:cs="Open Sans"/>
          <w:color w:val="000000"/>
        </w:rPr>
      </w:pPr>
      <w:proofErr w:type="gramStart"/>
      <w:r>
        <w:rPr>
          <w:color w:val="000000"/>
          <w:bdr w:val="none" w:sz="0" w:space="0" w:color="auto" w:frame="1"/>
        </w:rPr>
        <w:t>making</w:t>
      </w:r>
      <w:proofErr w:type="gramEnd"/>
      <w:r>
        <w:rPr>
          <w:color w:val="000000"/>
          <w:bdr w:val="none" w:sz="0" w:space="0" w:color="auto" w:frame="1"/>
        </w:rPr>
        <w:t>.</w:t>
      </w:r>
      <w:r>
        <w:rPr>
          <w:rFonts w:ascii="Open Sans" w:hAnsi="Open Sans" w:cs="Open Sans"/>
          <w:i/>
          <w:iCs/>
          <w:color w:val="000000"/>
          <w:bdr w:val="none" w:sz="0" w:space="0" w:color="auto" w:frame="1"/>
        </w:rPr>
        <w:t> Human Resource Management, 52</w:t>
      </w:r>
      <w:r>
        <w:rPr>
          <w:color w:val="000000"/>
          <w:bdr w:val="none" w:sz="0" w:space="0" w:color="auto" w:frame="1"/>
        </w:rPr>
        <w:t>(5), 809-827. </w:t>
      </w:r>
      <w:hyperlink r:id="rId12" w:history="1">
        <w:r>
          <w:rPr>
            <w:rStyle w:val="Hyperlink"/>
            <w:rFonts w:ascii="inherit" w:hAnsi="inherit"/>
            <w:bdr w:val="none" w:sz="0" w:space="0" w:color="auto" w:frame="1"/>
          </w:rPr>
          <w:t>https://doi.org/10.1002/hrm</w:t>
        </w:r>
      </w:hyperlink>
      <w:r>
        <w:rPr>
          <w:color w:val="000000"/>
          <w:bdr w:val="none" w:sz="0" w:space="0" w:color="auto" w:frame="1"/>
        </w:rPr>
        <w:t>. 21562</w:t>
      </w:r>
    </w:p>
    <w:p w:rsidR="006C3AA7" w:rsidRDefault="006C3AA7" w:rsidP="006C3AA7">
      <w:pPr>
        <w:pStyle w:val="NormalWeb"/>
        <w:shd w:val="clear" w:color="auto" w:fill="E6E6E6"/>
        <w:spacing w:before="0" w:beforeAutospacing="0" w:after="0" w:afterAutospacing="0" w:line="390" w:lineRule="atLeast"/>
        <w:ind w:left="720"/>
        <w:rPr>
          <w:rFonts w:ascii="Open Sans" w:hAnsi="Open Sans" w:cs="Open Sans"/>
          <w:color w:val="000000"/>
        </w:rPr>
      </w:pPr>
      <w:r>
        <w:rPr>
          <w:color w:val="000000"/>
          <w:bdr w:val="none" w:sz="0" w:space="0" w:color="auto" w:frame="1"/>
        </w:rPr>
        <w:t xml:space="preserve">The article focuses on how human resource management should be part of the strategy formulation process. The work addresses in detail the impact of pushing strategy decisions, or at least opening possibilities for discussion, more towards front line managers and employees who can respond quicker to changing market conditions and needs. The article also shows a benefit from designing systems to receive feedback from front lines is also the ability to return and communication information from top management to these employees and managers. </w:t>
      </w:r>
      <w:proofErr w:type="spellStart"/>
      <w:r>
        <w:rPr>
          <w:color w:val="000000"/>
          <w:bdr w:val="none" w:sz="0" w:space="0" w:color="auto" w:frame="1"/>
        </w:rPr>
        <w:t>Juul</w:t>
      </w:r>
      <w:proofErr w:type="spellEnd"/>
      <w:r>
        <w:rPr>
          <w:color w:val="000000"/>
          <w:bdr w:val="none" w:sz="0" w:space="0" w:color="auto" w:frame="1"/>
        </w:rPr>
        <w:t xml:space="preserve"> Andersen, of the Department of Strategic Management and Globalization, and </w:t>
      </w:r>
      <w:proofErr w:type="spellStart"/>
      <w:r>
        <w:rPr>
          <w:color w:val="000000"/>
          <w:bdr w:val="none" w:sz="0" w:space="0" w:color="auto" w:frame="1"/>
        </w:rPr>
        <w:t>Minbaeva</w:t>
      </w:r>
      <w:proofErr w:type="spellEnd"/>
      <w:r>
        <w:rPr>
          <w:color w:val="000000"/>
          <w:bdr w:val="none" w:sz="0" w:space="0" w:color="auto" w:frame="1"/>
        </w:rPr>
        <w:t xml:space="preserve">, of the PhD school of economics are both faculty at the Copenhagen Business School. Both have multiple publishing efforts to their name. Human Resource Management is a publication celebrating 60 years of works and includes a long list of professors on the editorial board from college and universities in the United States and some from across the globe. While the article focuses on human resources impact on strategy formulation it recognizes that forming strategy is an ongoing activity and many of the efforts and needs to develop good strategy are also effective in executing a successful strategy. The authors also point out that </w:t>
      </w:r>
      <w:r>
        <w:rPr>
          <w:color w:val="000000"/>
          <w:bdr w:val="none" w:sz="0" w:space="0" w:color="auto" w:frame="1"/>
        </w:rPr>
        <w:lastRenderedPageBreak/>
        <w:t xml:space="preserve">especially in the modern ultra-competitive industries the ability for effective and fast communication within an organization is vital to maintaining and adjusting strategic focus. The study showed employee commitment at an </w:t>
      </w:r>
      <w:proofErr w:type="spellStart"/>
      <w:r>
        <w:rPr>
          <w:color w:val="000000"/>
          <w:bdr w:val="none" w:sz="0" w:space="0" w:color="auto" w:frame="1"/>
        </w:rPr>
        <w:t>all time</w:t>
      </w:r>
      <w:proofErr w:type="spellEnd"/>
      <w:r>
        <w:rPr>
          <w:color w:val="000000"/>
          <w:bdr w:val="none" w:sz="0" w:space="0" w:color="auto" w:frame="1"/>
        </w:rPr>
        <w:t xml:space="preserve"> high level for the company studied and gave credit for the effort to the open lines of communication and for giving clear direction for each employee in regards to their impact on the overall strategy of the organization.</w:t>
      </w:r>
    </w:p>
    <w:p w:rsidR="006C3AA7" w:rsidRDefault="006C3AA7" w:rsidP="006C3AA7">
      <w:pPr>
        <w:pStyle w:val="NormalWeb"/>
        <w:shd w:val="clear" w:color="auto" w:fill="E6E6E6"/>
        <w:spacing w:before="0" w:beforeAutospacing="0" w:after="0" w:afterAutospacing="0" w:line="390" w:lineRule="atLeast"/>
        <w:rPr>
          <w:rFonts w:ascii="Open Sans" w:hAnsi="Open Sans" w:cs="Open Sans"/>
          <w:color w:val="000000"/>
        </w:rPr>
      </w:pPr>
      <w:r>
        <w:rPr>
          <w:color w:val="000000"/>
          <w:bdr w:val="none" w:sz="0" w:space="0" w:color="auto" w:frame="1"/>
        </w:rPr>
        <w:t xml:space="preserve">Knight, E., </w:t>
      </w:r>
      <w:proofErr w:type="spellStart"/>
      <w:r>
        <w:rPr>
          <w:color w:val="000000"/>
          <w:bdr w:val="none" w:sz="0" w:space="0" w:color="auto" w:frame="1"/>
        </w:rPr>
        <w:t>Daymond</w:t>
      </w:r>
      <w:proofErr w:type="spellEnd"/>
      <w:r>
        <w:rPr>
          <w:color w:val="000000"/>
          <w:bdr w:val="none" w:sz="0" w:space="0" w:color="auto" w:frame="1"/>
        </w:rPr>
        <w:t xml:space="preserve">, J., &amp; </w:t>
      </w:r>
      <w:proofErr w:type="spellStart"/>
      <w:r>
        <w:rPr>
          <w:color w:val="000000"/>
          <w:bdr w:val="none" w:sz="0" w:space="0" w:color="auto" w:frame="1"/>
        </w:rPr>
        <w:t>Paroutis</w:t>
      </w:r>
      <w:proofErr w:type="spellEnd"/>
      <w:r>
        <w:rPr>
          <w:color w:val="000000"/>
          <w:bdr w:val="none" w:sz="0" w:space="0" w:color="auto" w:frame="1"/>
        </w:rPr>
        <w:t>, S. (2020). Design-led strategy: How to bring design</w:t>
      </w:r>
    </w:p>
    <w:p w:rsidR="006C3AA7" w:rsidRDefault="006C3AA7" w:rsidP="006C3AA7">
      <w:pPr>
        <w:pStyle w:val="NormalWeb"/>
        <w:shd w:val="clear" w:color="auto" w:fill="E6E6E6"/>
        <w:spacing w:before="0" w:beforeAutospacing="0" w:after="0" w:afterAutospacing="0" w:line="390" w:lineRule="atLeast"/>
        <w:ind w:left="720"/>
        <w:rPr>
          <w:rFonts w:ascii="Open Sans" w:hAnsi="Open Sans" w:cs="Open Sans"/>
          <w:color w:val="000000"/>
        </w:rPr>
      </w:pPr>
      <w:proofErr w:type="gramStart"/>
      <w:r>
        <w:rPr>
          <w:color w:val="000000"/>
          <w:bdr w:val="none" w:sz="0" w:space="0" w:color="auto" w:frame="1"/>
        </w:rPr>
        <w:t>thinking</w:t>
      </w:r>
      <w:proofErr w:type="gramEnd"/>
      <w:r>
        <w:rPr>
          <w:color w:val="000000"/>
          <w:bdr w:val="none" w:sz="0" w:space="0" w:color="auto" w:frame="1"/>
        </w:rPr>
        <w:t xml:space="preserve"> into the art of strategic management.</w:t>
      </w:r>
      <w:r>
        <w:rPr>
          <w:rFonts w:ascii="Open Sans" w:hAnsi="Open Sans" w:cs="Open Sans"/>
          <w:i/>
          <w:iCs/>
          <w:color w:val="000000"/>
          <w:bdr w:val="none" w:sz="0" w:space="0" w:color="auto" w:frame="1"/>
        </w:rPr>
        <w:t> California Management Review, 62</w:t>
      </w:r>
      <w:r>
        <w:rPr>
          <w:color w:val="000000"/>
          <w:bdr w:val="none" w:sz="0" w:space="0" w:color="auto" w:frame="1"/>
        </w:rPr>
        <w:t>(2), 30-52. </w:t>
      </w:r>
      <w:hyperlink r:id="rId13" w:tgtFrame="_blank" w:history="1">
        <w:r>
          <w:rPr>
            <w:rStyle w:val="Hyperlink"/>
            <w:rFonts w:ascii="inherit" w:hAnsi="inherit"/>
            <w:bdr w:val="none" w:sz="0" w:space="0" w:color="auto" w:frame="1"/>
          </w:rPr>
          <w:t>https://doi.org/</w:t>
        </w:r>
      </w:hyperlink>
      <w:r>
        <w:rPr>
          <w:color w:val="000000"/>
          <w:bdr w:val="none" w:sz="0" w:space="0" w:color="auto" w:frame="1"/>
        </w:rPr>
        <w:t>10.1177/0008125619897594</w:t>
      </w:r>
    </w:p>
    <w:p w:rsidR="006C3AA7" w:rsidRDefault="006C3AA7" w:rsidP="006C3AA7">
      <w:pPr>
        <w:pStyle w:val="NormalWeb"/>
        <w:shd w:val="clear" w:color="auto" w:fill="E6E6E6"/>
        <w:spacing w:before="0" w:beforeAutospacing="0" w:after="0" w:afterAutospacing="0" w:line="390" w:lineRule="atLeast"/>
        <w:ind w:left="720"/>
        <w:rPr>
          <w:rFonts w:ascii="Open Sans" w:hAnsi="Open Sans" w:cs="Open Sans"/>
          <w:color w:val="000000"/>
        </w:rPr>
      </w:pPr>
      <w:r>
        <w:rPr>
          <w:color w:val="000000"/>
          <w:bdr w:val="none" w:sz="0" w:space="0" w:color="auto" w:frame="1"/>
        </w:rPr>
        <w:t xml:space="preserve">The integration of design with strategy is presented as essential to organization’s success. An area of focus for design to impact strategy is in the realm of innovation which can greatly impact the long-term success of an entity and create capabilities and capacities which are not easily imitated. Knight is a well published author in various academic publications and serves as the honorary professor of Strategic Management at the University of Sydney Business School and visiting professor at Oxford and Stanford University. </w:t>
      </w:r>
      <w:proofErr w:type="spellStart"/>
      <w:r>
        <w:rPr>
          <w:color w:val="000000"/>
          <w:bdr w:val="none" w:sz="0" w:space="0" w:color="auto" w:frame="1"/>
        </w:rPr>
        <w:t>Daymond</w:t>
      </w:r>
      <w:proofErr w:type="spellEnd"/>
      <w:r>
        <w:rPr>
          <w:color w:val="000000"/>
          <w:bdr w:val="none" w:sz="0" w:space="0" w:color="auto" w:frame="1"/>
        </w:rPr>
        <w:t xml:space="preserve"> is a research associate, also at the University </w:t>
      </w:r>
      <w:proofErr w:type="gramStart"/>
      <w:r>
        <w:rPr>
          <w:color w:val="000000"/>
          <w:bdr w:val="none" w:sz="0" w:space="0" w:color="auto" w:frame="1"/>
        </w:rPr>
        <w:t>of</w:t>
      </w:r>
      <w:proofErr w:type="gramEnd"/>
      <w:r>
        <w:rPr>
          <w:color w:val="000000"/>
          <w:bdr w:val="none" w:sz="0" w:space="0" w:color="auto" w:frame="1"/>
        </w:rPr>
        <w:t xml:space="preserve"> Sydney Business School, and also serves as a scholar of the Strategic Management Society while </w:t>
      </w:r>
      <w:proofErr w:type="spellStart"/>
      <w:r>
        <w:rPr>
          <w:color w:val="000000"/>
          <w:bdr w:val="none" w:sz="0" w:space="0" w:color="auto" w:frame="1"/>
        </w:rPr>
        <w:t>Paroutis</w:t>
      </w:r>
      <w:proofErr w:type="spellEnd"/>
      <w:r>
        <w:rPr>
          <w:color w:val="000000"/>
          <w:bdr w:val="none" w:sz="0" w:space="0" w:color="auto" w:frame="1"/>
        </w:rPr>
        <w:t xml:space="preserve"> is a professor of strategic management at the Warwick Business School in the United Kingdom while also serving as the head of the Strategy and International Business Group. The California Management Review is published by the University of California for over 60 years and enjoys a United States and international editors from highly acclaimed colleges and universities. For the discussion there remains value in the presentation of design for specific product features or attributes as well as for target markets in general. It provides a clear connection between design and revenue in terms of identifying and satisfying target markets. The usage of design in strategic management also affords managers an opportunity to try multiple options or paths forward for a product or service thereby reducing overall risks in making decisions. Strong design efforts possess specific and strong correlation to both increased revenues and stockholder return.</w:t>
      </w:r>
    </w:p>
    <w:p w:rsidR="006C3AA7" w:rsidRDefault="006C3AA7">
      <w:bookmarkStart w:id="0" w:name="_GoBack"/>
      <w:bookmarkEnd w:id="0"/>
    </w:p>
    <w:sectPr w:rsidR="006C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A7"/>
    <w:rsid w:val="000261AB"/>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57545"/>
    <w:rsid w:val="005A4E67"/>
    <w:rsid w:val="005E6FEB"/>
    <w:rsid w:val="00602B7E"/>
    <w:rsid w:val="00604CE7"/>
    <w:rsid w:val="0062186D"/>
    <w:rsid w:val="006C3AA7"/>
    <w:rsid w:val="007632DB"/>
    <w:rsid w:val="00787283"/>
    <w:rsid w:val="00807284"/>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B7DA9"/>
    <w:rsid w:val="00AF70D3"/>
    <w:rsid w:val="00B25DB1"/>
    <w:rsid w:val="00B30C12"/>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7C99"/>
    <w:rsid w:val="00E669A3"/>
    <w:rsid w:val="00E862FB"/>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EC481-5F35-48D1-9305-D355972A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center">
    <w:name w:val="apaheadingcenter"/>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3AA7"/>
    <w:rPr>
      <w:b/>
      <w:bCs/>
    </w:rPr>
  </w:style>
  <w:style w:type="paragraph" w:customStyle="1" w:styleId="apa">
    <w:name w:val="apa"/>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C3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firstpagetitle">
    <w:name w:val="apafirstpagetitle"/>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heading2">
    <w:name w:val="apaheading2"/>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referencesectionheading">
    <w:name w:val="apareferencesectionheading"/>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reference">
    <w:name w:val="apareference"/>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AA7"/>
    <w:rPr>
      <w:i/>
      <w:iCs/>
    </w:rPr>
  </w:style>
  <w:style w:type="character" w:styleId="Hyperlink">
    <w:name w:val="Hyperlink"/>
    <w:basedOn w:val="DefaultParagraphFont"/>
    <w:uiPriority w:val="99"/>
    <w:semiHidden/>
    <w:unhideWhenUsed/>
    <w:rsid w:val="006C3AA7"/>
    <w:rPr>
      <w:color w:val="0000FF"/>
      <w:u w:val="single"/>
    </w:rPr>
  </w:style>
  <w:style w:type="paragraph" w:customStyle="1" w:styleId="apablockquote1stpara">
    <w:name w:val="apablockquote1stpara"/>
    <w:basedOn w:val="Normal"/>
    <w:rsid w:val="006C3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17754">
      <w:bodyDiv w:val="1"/>
      <w:marLeft w:val="0"/>
      <w:marRight w:val="0"/>
      <w:marTop w:val="0"/>
      <w:marBottom w:val="0"/>
      <w:divBdr>
        <w:top w:val="none" w:sz="0" w:space="0" w:color="auto"/>
        <w:left w:val="none" w:sz="0" w:space="0" w:color="auto"/>
        <w:bottom w:val="none" w:sz="0" w:space="0" w:color="auto"/>
        <w:right w:val="none" w:sz="0" w:space="0" w:color="auto"/>
      </w:divBdr>
      <w:divsChild>
        <w:div w:id="1493792662">
          <w:marLeft w:val="0"/>
          <w:marRight w:val="0"/>
          <w:marTop w:val="0"/>
          <w:marBottom w:val="0"/>
          <w:divBdr>
            <w:top w:val="none" w:sz="0" w:space="0" w:color="auto"/>
            <w:left w:val="none" w:sz="0" w:space="0" w:color="auto"/>
            <w:bottom w:val="none" w:sz="0" w:space="0" w:color="auto"/>
            <w:right w:val="none" w:sz="0" w:space="0" w:color="auto"/>
          </w:divBdr>
        </w:div>
        <w:div w:id="1440755249">
          <w:marLeft w:val="0"/>
          <w:marRight w:val="0"/>
          <w:marTop w:val="0"/>
          <w:marBottom w:val="0"/>
          <w:divBdr>
            <w:top w:val="none" w:sz="0" w:space="0" w:color="auto"/>
            <w:left w:val="none" w:sz="0" w:space="0" w:color="auto"/>
            <w:bottom w:val="none" w:sz="0" w:space="0" w:color="auto"/>
            <w:right w:val="none" w:sz="0" w:space="0" w:color="auto"/>
          </w:divBdr>
        </w:div>
      </w:divsChild>
    </w:div>
    <w:div w:id="17877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qmh.0000000000000215" TargetMode="External"/><Relationship Id="rId13" Type="http://schemas.openxmlformats.org/officeDocument/2006/relationships/hyperlink" Target="https://doi.org/" TargetMode="External"/><Relationship Id="rId3" Type="http://schemas.openxmlformats.org/officeDocument/2006/relationships/webSettings" Target="webSettings.xml"/><Relationship Id="rId7" Type="http://schemas.openxmlformats.org/officeDocument/2006/relationships/hyperlink" Target="https://doi.org/10.1080/14783363.2017.1383153" TargetMode="External"/><Relationship Id="rId12" Type="http://schemas.openxmlformats.org/officeDocument/2006/relationships/hyperlink" Target="https://doi.org/10.1002/h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qmh.0000000000000215" TargetMode="External"/><Relationship Id="rId11" Type="http://schemas.openxmlformats.org/officeDocument/2006/relationships/hyperlink" Target="https://doi.org/" TargetMode="External"/><Relationship Id="rId5" Type="http://schemas.openxmlformats.org/officeDocument/2006/relationships/hyperlink" Target="https://doi.org/10.1080/14783363.2017.1383153" TargetMode="External"/><Relationship Id="rId15" Type="http://schemas.openxmlformats.org/officeDocument/2006/relationships/theme" Target="theme/theme1.xml"/><Relationship Id="rId10" Type="http://schemas.openxmlformats.org/officeDocument/2006/relationships/hyperlink" Target="https://doi.org/" TargetMode="External"/><Relationship Id="rId4" Type="http://schemas.openxmlformats.org/officeDocument/2006/relationships/hyperlink" Target="https://hbr.org/1998/09/the-hidden-traps-in-decision-making-2" TargetMode="External"/><Relationship Id="rId9" Type="http://schemas.openxmlformats.org/officeDocument/2006/relationships/hyperlink" Target="mailto:adenton10@libert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2021-03-05T15:05:00Z</dcterms:created>
  <dcterms:modified xsi:type="dcterms:W3CDTF">2021-03-05T15:06:00Z</dcterms:modified>
</cp:coreProperties>
</file>